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0B9B" w14:textId="3D22C759" w:rsidR="003E1C02" w:rsidRPr="00FA1B69" w:rsidRDefault="004B2010">
      <w:pPr>
        <w:rPr>
          <w:b/>
          <w:bCs/>
          <w:sz w:val="24"/>
          <w:szCs w:val="24"/>
        </w:rPr>
      </w:pPr>
      <w:r w:rsidRPr="00FA1B69">
        <w:rPr>
          <w:b/>
          <w:bCs/>
          <w:sz w:val="24"/>
          <w:szCs w:val="24"/>
        </w:rPr>
        <w:t>H</w:t>
      </w:r>
      <w:r w:rsidR="00D12101" w:rsidRPr="00FA1B69">
        <w:rPr>
          <w:b/>
          <w:bCs/>
          <w:sz w:val="24"/>
          <w:szCs w:val="24"/>
        </w:rPr>
        <w:t xml:space="preserve">antering av antikoagulantia </w:t>
      </w:r>
      <w:r w:rsidR="00BF4CD5" w:rsidRPr="00FA1B69">
        <w:rPr>
          <w:b/>
          <w:bCs/>
          <w:sz w:val="24"/>
          <w:szCs w:val="24"/>
        </w:rPr>
        <w:t xml:space="preserve">vid njurbiopsi </w:t>
      </w:r>
    </w:p>
    <w:p w14:paraId="50C9FC8B" w14:textId="77777777" w:rsidR="005B7559" w:rsidRDefault="00D05B8B">
      <w:pPr>
        <w:rPr>
          <w:b/>
          <w:bCs/>
          <w:i/>
          <w:iCs/>
        </w:rPr>
      </w:pPr>
      <w:r w:rsidRPr="00FA1B69">
        <w:rPr>
          <w:b/>
          <w:bCs/>
          <w:i/>
          <w:iCs/>
        </w:rPr>
        <w:t>E</w:t>
      </w:r>
      <w:r w:rsidR="00D02517" w:rsidRPr="00FA1B69">
        <w:rPr>
          <w:b/>
          <w:bCs/>
          <w:i/>
          <w:iCs/>
        </w:rPr>
        <w:t>videns och rekommendationer</w:t>
      </w:r>
      <w:r w:rsidR="00104C2F" w:rsidRPr="00FA1B69">
        <w:rPr>
          <w:b/>
          <w:bCs/>
          <w:i/>
          <w:iCs/>
        </w:rPr>
        <w:t xml:space="preserve"> av</w:t>
      </w:r>
      <w:r w:rsidR="00384104">
        <w:rPr>
          <w:b/>
          <w:bCs/>
          <w:i/>
          <w:iCs/>
        </w:rPr>
        <w:t>seende</w:t>
      </w:r>
      <w:r w:rsidR="00104C2F" w:rsidRPr="00FA1B69">
        <w:rPr>
          <w:b/>
          <w:bCs/>
          <w:i/>
          <w:iCs/>
        </w:rPr>
        <w:t xml:space="preserve"> </w:t>
      </w:r>
      <w:r w:rsidR="008F6591">
        <w:rPr>
          <w:b/>
          <w:bCs/>
          <w:i/>
          <w:iCs/>
        </w:rPr>
        <w:t>komplikations</w:t>
      </w:r>
      <w:r w:rsidR="00104C2F" w:rsidRPr="00FA1B69">
        <w:rPr>
          <w:b/>
          <w:bCs/>
          <w:i/>
          <w:iCs/>
        </w:rPr>
        <w:t>förebyggande åtgärder</w:t>
      </w:r>
      <w:r w:rsidR="005914C9">
        <w:rPr>
          <w:b/>
          <w:bCs/>
          <w:i/>
          <w:iCs/>
        </w:rPr>
        <w:t xml:space="preserve"> från Svensk Njurmedicinsk Förening</w:t>
      </w:r>
      <w:r w:rsidR="008F6591">
        <w:rPr>
          <w:b/>
          <w:bCs/>
          <w:i/>
          <w:iCs/>
        </w:rPr>
        <w:t>s</w:t>
      </w:r>
      <w:r w:rsidR="005914C9">
        <w:rPr>
          <w:b/>
          <w:bCs/>
          <w:i/>
          <w:iCs/>
        </w:rPr>
        <w:t xml:space="preserve"> </w:t>
      </w:r>
      <w:proofErr w:type="spellStart"/>
      <w:r w:rsidR="005914C9">
        <w:rPr>
          <w:b/>
          <w:bCs/>
          <w:i/>
          <w:iCs/>
        </w:rPr>
        <w:t>Guidelinesutskott</w:t>
      </w:r>
      <w:proofErr w:type="spellEnd"/>
      <w:r w:rsidR="00384104">
        <w:rPr>
          <w:b/>
          <w:bCs/>
          <w:i/>
          <w:iCs/>
        </w:rPr>
        <w:t>.</w:t>
      </w:r>
      <w:r w:rsidR="005B7559">
        <w:rPr>
          <w:b/>
          <w:bCs/>
          <w:i/>
          <w:iCs/>
        </w:rPr>
        <w:t xml:space="preserve"> </w:t>
      </w:r>
    </w:p>
    <w:p w14:paraId="66A612A1" w14:textId="44BE6240" w:rsidR="00D02517" w:rsidRPr="00A23937" w:rsidRDefault="005B7559">
      <w:pPr>
        <w:rPr>
          <w:b/>
          <w:bCs/>
          <w:i/>
          <w:iCs/>
          <w:sz w:val="14"/>
          <w:szCs w:val="14"/>
        </w:rPr>
      </w:pPr>
      <w:r w:rsidRPr="00A23937">
        <w:rPr>
          <w:sz w:val="14"/>
          <w:szCs w:val="14"/>
        </w:rPr>
        <w:t>Sammanfattat av</w:t>
      </w:r>
      <w:r w:rsidRPr="00A23937">
        <w:rPr>
          <w:b/>
          <w:bCs/>
          <w:i/>
          <w:iCs/>
          <w:sz w:val="14"/>
          <w:szCs w:val="14"/>
        </w:rPr>
        <w:t xml:space="preserve"> </w:t>
      </w:r>
      <w:r w:rsidRPr="00A23937">
        <w:rPr>
          <w:sz w:val="14"/>
          <w:szCs w:val="14"/>
        </w:rPr>
        <w:t>Carin Wallquist</w:t>
      </w:r>
      <w:r w:rsidR="00556C3E">
        <w:rPr>
          <w:sz w:val="14"/>
          <w:szCs w:val="14"/>
        </w:rPr>
        <w:t>,</w:t>
      </w:r>
      <w:r w:rsidRPr="00A23937">
        <w:rPr>
          <w:sz w:val="14"/>
          <w:szCs w:val="14"/>
        </w:rPr>
        <w:t xml:space="preserve"> överläkare Njurmedicin SUS och ordförande Svensk Njurmedicinsk Förenings </w:t>
      </w:r>
      <w:proofErr w:type="spellStart"/>
      <w:r w:rsidRPr="00A23937">
        <w:rPr>
          <w:sz w:val="14"/>
          <w:szCs w:val="14"/>
        </w:rPr>
        <w:t>Guidelinesutskott</w:t>
      </w:r>
      <w:proofErr w:type="spellEnd"/>
      <w:r w:rsidRPr="00A23937">
        <w:rPr>
          <w:sz w:val="14"/>
          <w:szCs w:val="14"/>
        </w:rPr>
        <w:t>.</w:t>
      </w:r>
      <w:r w:rsidRPr="00A23937">
        <w:rPr>
          <w:b/>
          <w:bCs/>
          <w:i/>
          <w:iCs/>
          <w:sz w:val="14"/>
          <w:szCs w:val="14"/>
        </w:rPr>
        <w:t xml:space="preserve"> </w:t>
      </w:r>
    </w:p>
    <w:p w14:paraId="5E14D7E2" w14:textId="77777777" w:rsidR="00AD3F06" w:rsidRPr="00FA1B69" w:rsidRDefault="00AD3F06">
      <w:pPr>
        <w:rPr>
          <w:sz w:val="20"/>
          <w:szCs w:val="20"/>
        </w:rPr>
      </w:pPr>
    </w:p>
    <w:p w14:paraId="3825AB6A" w14:textId="514464D9" w:rsidR="00D05B8B" w:rsidRPr="00FA1B69" w:rsidRDefault="00D05B8B" w:rsidP="00683622">
      <w:pPr>
        <w:ind w:left="1304" w:firstLine="1304"/>
        <w:rPr>
          <w:b/>
          <w:bCs/>
          <w:i/>
          <w:iCs/>
          <w:sz w:val="24"/>
          <w:szCs w:val="24"/>
        </w:rPr>
      </w:pPr>
      <w:r w:rsidRPr="00FA1B69">
        <w:rPr>
          <w:b/>
          <w:bCs/>
          <w:i/>
          <w:iCs/>
          <w:sz w:val="24"/>
          <w:szCs w:val="24"/>
        </w:rPr>
        <w:t xml:space="preserve">Huvudbudskap </w:t>
      </w:r>
    </w:p>
    <w:p w14:paraId="49FB3586" w14:textId="54DF8ED8" w:rsidR="00FA1B69" w:rsidRPr="00683622" w:rsidRDefault="00FA1B69" w:rsidP="00683622">
      <w:pPr>
        <w:pStyle w:val="Liststycke"/>
        <w:numPr>
          <w:ilvl w:val="0"/>
          <w:numId w:val="6"/>
        </w:numPr>
        <w:rPr>
          <w:i/>
          <w:iCs/>
          <w:sz w:val="20"/>
          <w:szCs w:val="20"/>
        </w:rPr>
      </w:pPr>
      <w:r w:rsidRPr="00683622">
        <w:rPr>
          <w:i/>
          <w:iCs/>
          <w:sz w:val="20"/>
          <w:szCs w:val="20"/>
        </w:rPr>
        <w:t xml:space="preserve">Blödningsrisken </w:t>
      </w:r>
      <w:r w:rsidR="006221E5" w:rsidRPr="00683622">
        <w:rPr>
          <w:i/>
          <w:iCs/>
          <w:sz w:val="20"/>
          <w:szCs w:val="20"/>
        </w:rPr>
        <w:t xml:space="preserve">vid </w:t>
      </w:r>
      <w:r w:rsidRPr="00683622">
        <w:rPr>
          <w:i/>
          <w:iCs/>
          <w:sz w:val="20"/>
          <w:szCs w:val="20"/>
        </w:rPr>
        <w:t xml:space="preserve">njurbiopsi är låg. </w:t>
      </w:r>
    </w:p>
    <w:p w14:paraId="48ADB715" w14:textId="1A7E35BB" w:rsidR="00683622" w:rsidRPr="00683622" w:rsidRDefault="00683622" w:rsidP="00683622">
      <w:pPr>
        <w:pStyle w:val="Liststycke"/>
        <w:numPr>
          <w:ilvl w:val="0"/>
          <w:numId w:val="6"/>
        </w:numPr>
        <w:rPr>
          <w:b/>
          <w:bCs/>
          <w:i/>
          <w:iCs/>
          <w:sz w:val="20"/>
          <w:szCs w:val="20"/>
        </w:rPr>
      </w:pPr>
      <w:r w:rsidRPr="00683622">
        <w:rPr>
          <w:i/>
          <w:iCs/>
          <w:sz w:val="20"/>
          <w:szCs w:val="20"/>
        </w:rPr>
        <w:t>Relevans av kontraindikationer för njurbiopsi skall bedömas individuellt.</w:t>
      </w:r>
      <w:r w:rsidRPr="00683622">
        <w:rPr>
          <w:b/>
          <w:bCs/>
          <w:i/>
          <w:iCs/>
          <w:sz w:val="20"/>
          <w:szCs w:val="20"/>
        </w:rPr>
        <w:t xml:space="preserve"> </w:t>
      </w:r>
    </w:p>
    <w:p w14:paraId="72255976" w14:textId="060EDBB4" w:rsidR="00D05B8B" w:rsidRPr="00683622" w:rsidRDefault="006221E5" w:rsidP="00683622">
      <w:pPr>
        <w:pStyle w:val="Liststycke"/>
        <w:numPr>
          <w:ilvl w:val="0"/>
          <w:numId w:val="6"/>
        </w:numPr>
        <w:rPr>
          <w:i/>
          <w:iCs/>
          <w:sz w:val="20"/>
          <w:szCs w:val="20"/>
        </w:rPr>
      </w:pPr>
      <w:r w:rsidRPr="00683622">
        <w:rPr>
          <w:i/>
          <w:iCs/>
          <w:sz w:val="20"/>
          <w:szCs w:val="20"/>
        </w:rPr>
        <w:t>N</w:t>
      </w:r>
      <w:r w:rsidR="00D05B8B" w:rsidRPr="00683622">
        <w:rPr>
          <w:i/>
          <w:iCs/>
          <w:sz w:val="20"/>
          <w:szCs w:val="20"/>
        </w:rPr>
        <w:t xml:space="preserve">ormaldos ASA utgör ingen kontraindikation </w:t>
      </w:r>
      <w:r w:rsidR="00683622">
        <w:rPr>
          <w:i/>
          <w:iCs/>
          <w:sz w:val="20"/>
          <w:szCs w:val="20"/>
        </w:rPr>
        <w:t>vid</w:t>
      </w:r>
      <w:r w:rsidR="00683622" w:rsidRPr="00683622">
        <w:rPr>
          <w:i/>
          <w:iCs/>
          <w:sz w:val="20"/>
          <w:szCs w:val="20"/>
        </w:rPr>
        <w:t xml:space="preserve"> </w:t>
      </w:r>
      <w:r w:rsidR="00D05B8B" w:rsidRPr="00683622">
        <w:rPr>
          <w:i/>
          <w:iCs/>
          <w:sz w:val="20"/>
          <w:szCs w:val="20"/>
        </w:rPr>
        <w:t>akut indikation för njurbiopsi</w:t>
      </w:r>
      <w:r w:rsidR="00384104" w:rsidRPr="00683622">
        <w:rPr>
          <w:i/>
          <w:iCs/>
          <w:sz w:val="20"/>
          <w:szCs w:val="20"/>
        </w:rPr>
        <w:t xml:space="preserve"> (även njurtransplantat)</w:t>
      </w:r>
      <w:r w:rsidR="00D05B8B" w:rsidRPr="00683622">
        <w:rPr>
          <w:i/>
          <w:iCs/>
          <w:sz w:val="20"/>
          <w:szCs w:val="20"/>
        </w:rPr>
        <w:t xml:space="preserve">. </w:t>
      </w:r>
    </w:p>
    <w:p w14:paraId="182DD85A" w14:textId="42BD13CF" w:rsidR="00D05B8B" w:rsidRPr="00683622" w:rsidRDefault="00D05B8B" w:rsidP="00683622">
      <w:pPr>
        <w:pStyle w:val="Liststycke"/>
        <w:numPr>
          <w:ilvl w:val="0"/>
          <w:numId w:val="6"/>
        </w:numPr>
        <w:rPr>
          <w:i/>
          <w:iCs/>
          <w:sz w:val="20"/>
          <w:szCs w:val="20"/>
        </w:rPr>
      </w:pPr>
      <w:r w:rsidRPr="00683622">
        <w:rPr>
          <w:i/>
          <w:iCs/>
          <w:sz w:val="20"/>
          <w:szCs w:val="20"/>
        </w:rPr>
        <w:t>Skatta varje enskild patients kardiovaskulära risk</w:t>
      </w:r>
      <w:r w:rsidR="00683622" w:rsidRPr="00683622">
        <w:rPr>
          <w:i/>
          <w:iCs/>
          <w:sz w:val="20"/>
          <w:szCs w:val="20"/>
        </w:rPr>
        <w:t xml:space="preserve"> </w:t>
      </w:r>
      <w:r w:rsidR="00EA02C3">
        <w:rPr>
          <w:i/>
          <w:iCs/>
          <w:sz w:val="20"/>
          <w:szCs w:val="20"/>
        </w:rPr>
        <w:t>för</w:t>
      </w:r>
      <w:r w:rsidR="00EA02C3" w:rsidRPr="00683622">
        <w:rPr>
          <w:i/>
          <w:iCs/>
          <w:sz w:val="20"/>
          <w:szCs w:val="20"/>
        </w:rPr>
        <w:t xml:space="preserve"> </w:t>
      </w:r>
      <w:r w:rsidR="00683622" w:rsidRPr="00683622">
        <w:rPr>
          <w:i/>
          <w:iCs/>
          <w:sz w:val="20"/>
          <w:szCs w:val="20"/>
        </w:rPr>
        <w:t xml:space="preserve">uppehåll </w:t>
      </w:r>
      <w:r w:rsidR="00683622">
        <w:rPr>
          <w:i/>
          <w:iCs/>
          <w:sz w:val="20"/>
          <w:szCs w:val="20"/>
        </w:rPr>
        <w:t>av</w:t>
      </w:r>
      <w:r w:rsidR="00683622" w:rsidRPr="00683622">
        <w:rPr>
          <w:i/>
          <w:iCs/>
          <w:sz w:val="20"/>
          <w:szCs w:val="20"/>
        </w:rPr>
        <w:t xml:space="preserve"> ASA </w:t>
      </w:r>
      <w:r w:rsidRPr="00683622">
        <w:rPr>
          <w:i/>
          <w:iCs/>
          <w:sz w:val="20"/>
          <w:szCs w:val="20"/>
        </w:rPr>
        <w:t>samt beakta även risk för genombrottstrombos</w:t>
      </w:r>
      <w:r w:rsidR="00683622" w:rsidRPr="00683622">
        <w:rPr>
          <w:i/>
          <w:iCs/>
          <w:sz w:val="20"/>
          <w:szCs w:val="20"/>
        </w:rPr>
        <w:t>.</w:t>
      </w:r>
      <w:r w:rsidRPr="00683622">
        <w:rPr>
          <w:i/>
          <w:iCs/>
          <w:sz w:val="20"/>
          <w:szCs w:val="20"/>
        </w:rPr>
        <w:t xml:space="preserve"> </w:t>
      </w:r>
    </w:p>
    <w:p w14:paraId="562CEF20" w14:textId="593F5300" w:rsidR="00D05B8B" w:rsidRPr="00683622" w:rsidRDefault="00D05B8B" w:rsidP="00683622">
      <w:pPr>
        <w:pStyle w:val="Liststycke"/>
        <w:numPr>
          <w:ilvl w:val="0"/>
          <w:numId w:val="6"/>
        </w:numPr>
        <w:rPr>
          <w:i/>
          <w:iCs/>
          <w:sz w:val="20"/>
          <w:szCs w:val="20"/>
        </w:rPr>
      </w:pPr>
      <w:r w:rsidRPr="00683622">
        <w:rPr>
          <w:i/>
          <w:iCs/>
          <w:sz w:val="20"/>
          <w:szCs w:val="20"/>
        </w:rPr>
        <w:t xml:space="preserve">Efter </w:t>
      </w:r>
      <w:proofErr w:type="spellStart"/>
      <w:r w:rsidRPr="00683622">
        <w:rPr>
          <w:i/>
          <w:iCs/>
          <w:sz w:val="20"/>
          <w:szCs w:val="20"/>
        </w:rPr>
        <w:t>plasmaferesbehandling</w:t>
      </w:r>
      <w:proofErr w:type="spellEnd"/>
      <w:r w:rsidRPr="00683622">
        <w:rPr>
          <w:i/>
          <w:iCs/>
          <w:sz w:val="20"/>
          <w:szCs w:val="20"/>
        </w:rPr>
        <w:t xml:space="preserve"> skall det gå 24 timmar </w:t>
      </w:r>
      <w:r w:rsidR="00A428BD">
        <w:rPr>
          <w:i/>
          <w:iCs/>
          <w:sz w:val="20"/>
          <w:szCs w:val="20"/>
        </w:rPr>
        <w:t>före</w:t>
      </w:r>
      <w:r w:rsidR="00A428BD" w:rsidRPr="00683622">
        <w:rPr>
          <w:i/>
          <w:iCs/>
          <w:sz w:val="20"/>
          <w:szCs w:val="20"/>
        </w:rPr>
        <w:t xml:space="preserve"> </w:t>
      </w:r>
      <w:r w:rsidRPr="00683622">
        <w:rPr>
          <w:i/>
          <w:iCs/>
          <w:sz w:val="20"/>
          <w:szCs w:val="20"/>
        </w:rPr>
        <w:t>njurbiopsi.</w:t>
      </w:r>
    </w:p>
    <w:p w14:paraId="14DE843B" w14:textId="2B3CDEE2" w:rsidR="00D05B8B" w:rsidRPr="00683622" w:rsidRDefault="00D05B8B" w:rsidP="00683622">
      <w:pPr>
        <w:pStyle w:val="Liststycke"/>
        <w:numPr>
          <w:ilvl w:val="0"/>
          <w:numId w:val="6"/>
        </w:numPr>
        <w:rPr>
          <w:i/>
          <w:iCs/>
          <w:sz w:val="20"/>
          <w:szCs w:val="20"/>
        </w:rPr>
      </w:pPr>
      <w:r w:rsidRPr="00683622">
        <w:rPr>
          <w:i/>
          <w:iCs/>
          <w:sz w:val="20"/>
          <w:szCs w:val="20"/>
        </w:rPr>
        <w:t>Njurbiopsi under graviditet är säkert före graviditetsvecka 20</w:t>
      </w:r>
      <w:r w:rsidR="00683622">
        <w:rPr>
          <w:i/>
          <w:iCs/>
          <w:sz w:val="20"/>
          <w:szCs w:val="20"/>
        </w:rPr>
        <w:t>.</w:t>
      </w:r>
      <w:r w:rsidRPr="00683622">
        <w:rPr>
          <w:i/>
          <w:iCs/>
          <w:sz w:val="20"/>
          <w:szCs w:val="20"/>
        </w:rPr>
        <w:t xml:space="preserve">  </w:t>
      </w:r>
    </w:p>
    <w:p w14:paraId="660D631A" w14:textId="6E04829B" w:rsidR="00384104" w:rsidRPr="00683622" w:rsidRDefault="00384104" w:rsidP="00683622">
      <w:pPr>
        <w:pStyle w:val="Liststycke"/>
        <w:numPr>
          <w:ilvl w:val="0"/>
          <w:numId w:val="6"/>
        </w:numPr>
        <w:rPr>
          <w:i/>
          <w:iCs/>
          <w:sz w:val="20"/>
          <w:szCs w:val="20"/>
        </w:rPr>
      </w:pPr>
      <w:r w:rsidRPr="00683622">
        <w:rPr>
          <w:i/>
          <w:iCs/>
          <w:sz w:val="20"/>
          <w:szCs w:val="20"/>
        </w:rPr>
        <w:t xml:space="preserve">Monitorera </w:t>
      </w:r>
      <w:proofErr w:type="spellStart"/>
      <w:r w:rsidRPr="00683622">
        <w:rPr>
          <w:i/>
          <w:iCs/>
          <w:sz w:val="20"/>
          <w:szCs w:val="20"/>
        </w:rPr>
        <w:t>njurbiopserade</w:t>
      </w:r>
      <w:proofErr w:type="spellEnd"/>
      <w:r w:rsidRPr="00683622">
        <w:rPr>
          <w:i/>
          <w:iCs/>
          <w:sz w:val="20"/>
          <w:szCs w:val="20"/>
        </w:rPr>
        <w:t xml:space="preserve"> patienter för komplikationer</w:t>
      </w:r>
      <w:r w:rsidR="00683622">
        <w:rPr>
          <w:i/>
          <w:iCs/>
          <w:sz w:val="20"/>
          <w:szCs w:val="20"/>
        </w:rPr>
        <w:t>.</w:t>
      </w:r>
    </w:p>
    <w:p w14:paraId="381C443E" w14:textId="55FE4E81" w:rsidR="00FA1B69" w:rsidRPr="00683622" w:rsidRDefault="00FA1B69" w:rsidP="00683622">
      <w:pPr>
        <w:pStyle w:val="Liststycke"/>
        <w:numPr>
          <w:ilvl w:val="0"/>
          <w:numId w:val="6"/>
        </w:numPr>
        <w:rPr>
          <w:i/>
          <w:iCs/>
          <w:sz w:val="20"/>
          <w:szCs w:val="20"/>
        </w:rPr>
      </w:pPr>
      <w:r w:rsidRPr="00683622">
        <w:rPr>
          <w:i/>
          <w:iCs/>
          <w:sz w:val="20"/>
          <w:szCs w:val="20"/>
        </w:rPr>
        <w:t xml:space="preserve">Lägg upp en tydlig plan för att återinsätta antikoagulantia </w:t>
      </w:r>
      <w:proofErr w:type="gramStart"/>
      <w:r w:rsidRPr="00683622">
        <w:rPr>
          <w:i/>
          <w:iCs/>
          <w:sz w:val="20"/>
          <w:szCs w:val="20"/>
        </w:rPr>
        <w:t>12-48</w:t>
      </w:r>
      <w:proofErr w:type="gramEnd"/>
      <w:r w:rsidRPr="00683622">
        <w:rPr>
          <w:i/>
          <w:iCs/>
          <w:sz w:val="20"/>
          <w:szCs w:val="20"/>
        </w:rPr>
        <w:t xml:space="preserve"> timmar efter biopsin</w:t>
      </w:r>
      <w:r w:rsidR="006221E5" w:rsidRPr="00683622">
        <w:rPr>
          <w:i/>
          <w:iCs/>
          <w:sz w:val="20"/>
          <w:szCs w:val="20"/>
        </w:rPr>
        <w:t>.</w:t>
      </w:r>
    </w:p>
    <w:p w14:paraId="12E88F0E" w14:textId="2CFA5CF9" w:rsidR="00A8156C" w:rsidRPr="00683622" w:rsidRDefault="006E6FB0" w:rsidP="00683622">
      <w:pPr>
        <w:pStyle w:val="Liststycke"/>
        <w:numPr>
          <w:ilvl w:val="0"/>
          <w:numId w:val="6"/>
        </w:numPr>
        <w:rPr>
          <w:i/>
          <w:iCs/>
          <w:sz w:val="20"/>
          <w:szCs w:val="20"/>
        </w:rPr>
      </w:pPr>
      <w:r w:rsidRPr="00683622">
        <w:rPr>
          <w:i/>
          <w:iCs/>
          <w:sz w:val="20"/>
          <w:szCs w:val="20"/>
        </w:rPr>
        <w:t xml:space="preserve">Evidensgraden är låg för att </w:t>
      </w:r>
      <w:proofErr w:type="spellStart"/>
      <w:r w:rsidRPr="00683622">
        <w:rPr>
          <w:i/>
          <w:iCs/>
          <w:sz w:val="20"/>
          <w:szCs w:val="20"/>
        </w:rPr>
        <w:t>desmopressin</w:t>
      </w:r>
      <w:proofErr w:type="spellEnd"/>
      <w:r w:rsidRPr="00683622">
        <w:rPr>
          <w:i/>
          <w:iCs/>
          <w:sz w:val="20"/>
          <w:szCs w:val="20"/>
        </w:rPr>
        <w:t xml:space="preserve"> </w:t>
      </w:r>
      <w:r w:rsidR="00D05B8B" w:rsidRPr="00683622">
        <w:rPr>
          <w:i/>
          <w:iCs/>
          <w:sz w:val="20"/>
          <w:szCs w:val="20"/>
        </w:rPr>
        <w:t xml:space="preserve">skyddar patienter mot </w:t>
      </w:r>
      <w:r w:rsidR="00A8156C" w:rsidRPr="00683622">
        <w:rPr>
          <w:i/>
          <w:iCs/>
          <w:sz w:val="20"/>
          <w:szCs w:val="20"/>
        </w:rPr>
        <w:t>blödnings</w:t>
      </w:r>
      <w:r w:rsidR="00D05B8B" w:rsidRPr="00683622">
        <w:rPr>
          <w:i/>
          <w:iCs/>
          <w:sz w:val="20"/>
          <w:szCs w:val="20"/>
        </w:rPr>
        <w:t>komplikationer</w:t>
      </w:r>
      <w:r w:rsidR="00683622" w:rsidRPr="00683622">
        <w:rPr>
          <w:i/>
          <w:iCs/>
          <w:sz w:val="20"/>
          <w:szCs w:val="20"/>
        </w:rPr>
        <w:t xml:space="preserve"> vid njurbiopsi</w:t>
      </w:r>
      <w:r w:rsidR="00D05B8B" w:rsidRPr="00683622">
        <w:rPr>
          <w:i/>
          <w:iCs/>
          <w:sz w:val="20"/>
          <w:szCs w:val="20"/>
        </w:rPr>
        <w:t xml:space="preserve">, det finns </w:t>
      </w:r>
      <w:r w:rsidR="005765A8" w:rsidRPr="00683622">
        <w:rPr>
          <w:i/>
          <w:iCs/>
          <w:sz w:val="20"/>
          <w:szCs w:val="20"/>
        </w:rPr>
        <w:t xml:space="preserve">däremot </w:t>
      </w:r>
      <w:r w:rsidR="00683622" w:rsidRPr="00683622">
        <w:rPr>
          <w:i/>
          <w:iCs/>
          <w:sz w:val="20"/>
          <w:szCs w:val="20"/>
        </w:rPr>
        <w:t xml:space="preserve">potentiellt </w:t>
      </w:r>
      <w:r w:rsidR="00AD5AB0">
        <w:rPr>
          <w:i/>
          <w:iCs/>
          <w:sz w:val="20"/>
          <w:szCs w:val="20"/>
        </w:rPr>
        <w:t>allvarliga</w:t>
      </w:r>
      <w:r w:rsidR="00AD5AB0" w:rsidRPr="00683622">
        <w:rPr>
          <w:i/>
          <w:iCs/>
          <w:sz w:val="20"/>
          <w:szCs w:val="20"/>
        </w:rPr>
        <w:t xml:space="preserve"> </w:t>
      </w:r>
      <w:r w:rsidR="00D05B8B" w:rsidRPr="00683622">
        <w:rPr>
          <w:i/>
          <w:iCs/>
          <w:sz w:val="20"/>
          <w:szCs w:val="20"/>
        </w:rPr>
        <w:t>biverkningar</w:t>
      </w:r>
      <w:r w:rsidR="00A8156C" w:rsidRPr="00683622">
        <w:rPr>
          <w:i/>
          <w:iCs/>
          <w:sz w:val="20"/>
          <w:szCs w:val="20"/>
        </w:rPr>
        <w:t>.</w:t>
      </w:r>
    </w:p>
    <w:p w14:paraId="2F709DC9" w14:textId="74FD19CE" w:rsidR="00D05B8B" w:rsidRPr="00683622" w:rsidRDefault="00D05B8B" w:rsidP="00683622">
      <w:pPr>
        <w:pStyle w:val="Liststycke"/>
        <w:numPr>
          <w:ilvl w:val="0"/>
          <w:numId w:val="6"/>
        </w:numPr>
        <w:rPr>
          <w:i/>
          <w:iCs/>
          <w:sz w:val="20"/>
          <w:szCs w:val="20"/>
        </w:rPr>
      </w:pPr>
      <w:proofErr w:type="spellStart"/>
      <w:r w:rsidRPr="00683622">
        <w:rPr>
          <w:i/>
          <w:iCs/>
          <w:sz w:val="20"/>
          <w:szCs w:val="20"/>
        </w:rPr>
        <w:t>Polikliniserade</w:t>
      </w:r>
      <w:proofErr w:type="spellEnd"/>
      <w:r w:rsidRPr="00683622">
        <w:rPr>
          <w:i/>
          <w:iCs/>
          <w:sz w:val="20"/>
          <w:szCs w:val="20"/>
        </w:rPr>
        <w:t xml:space="preserve"> njurbiopsier har visat sig både säkert och resursbesparande på rätt selekterad patient</w:t>
      </w:r>
      <w:r w:rsidR="00254F0C">
        <w:rPr>
          <w:i/>
          <w:iCs/>
          <w:sz w:val="20"/>
          <w:szCs w:val="20"/>
        </w:rPr>
        <w:t>grupp</w:t>
      </w:r>
      <w:r w:rsidRPr="00683622">
        <w:rPr>
          <w:i/>
          <w:iCs/>
          <w:sz w:val="20"/>
          <w:szCs w:val="20"/>
        </w:rPr>
        <w:t>.</w:t>
      </w:r>
    </w:p>
    <w:p w14:paraId="0BA45C44" w14:textId="77777777" w:rsidR="00D05B8B" w:rsidRPr="00FA1B69" w:rsidRDefault="00D05B8B">
      <w:pPr>
        <w:rPr>
          <w:sz w:val="20"/>
          <w:szCs w:val="20"/>
        </w:rPr>
      </w:pPr>
    </w:p>
    <w:p w14:paraId="5C151688" w14:textId="1D9451DA" w:rsidR="00DE6942" w:rsidRPr="00FA1B69" w:rsidRDefault="004E40B4">
      <w:pPr>
        <w:rPr>
          <w:b/>
          <w:bCs/>
          <w:sz w:val="20"/>
          <w:szCs w:val="20"/>
        </w:rPr>
      </w:pPr>
      <w:r w:rsidRPr="00FA1B69">
        <w:rPr>
          <w:b/>
          <w:bCs/>
          <w:sz w:val="20"/>
          <w:szCs w:val="20"/>
        </w:rPr>
        <w:t>Bakgrund</w:t>
      </w:r>
    </w:p>
    <w:p w14:paraId="2027B6C5" w14:textId="4932950C" w:rsidR="006E6FB0" w:rsidRPr="00FA1B69" w:rsidRDefault="00185B9A" w:rsidP="00B920FF">
      <w:pPr>
        <w:rPr>
          <w:sz w:val="20"/>
          <w:szCs w:val="20"/>
        </w:rPr>
      </w:pPr>
      <w:r w:rsidRPr="00FA1B69">
        <w:rPr>
          <w:sz w:val="20"/>
          <w:szCs w:val="20"/>
        </w:rPr>
        <w:t>Blödningsrisk</w:t>
      </w:r>
      <w:r w:rsidR="004E40B4" w:rsidRPr="00FA1B69">
        <w:rPr>
          <w:sz w:val="20"/>
          <w:szCs w:val="20"/>
        </w:rPr>
        <w:t>en efter njurbiopsi är</w:t>
      </w:r>
      <w:r w:rsidRPr="00FA1B69">
        <w:rPr>
          <w:sz w:val="20"/>
          <w:szCs w:val="20"/>
        </w:rPr>
        <w:t xml:space="preserve"> låg</w:t>
      </w:r>
      <w:r w:rsidR="00E40D22">
        <w:rPr>
          <w:sz w:val="20"/>
          <w:szCs w:val="20"/>
        </w:rPr>
        <w:t xml:space="preserve"> </w:t>
      </w:r>
      <w:r w:rsidR="00E40D22" w:rsidRPr="005B7559">
        <w:rPr>
          <w:sz w:val="16"/>
          <w:szCs w:val="16"/>
        </w:rPr>
        <w:t>(1)</w:t>
      </w:r>
      <w:r w:rsidRPr="005B7559">
        <w:rPr>
          <w:sz w:val="16"/>
          <w:szCs w:val="16"/>
        </w:rPr>
        <w:t xml:space="preserve">. </w:t>
      </w:r>
      <w:r w:rsidR="006878A9" w:rsidRPr="00FA1B69">
        <w:rPr>
          <w:sz w:val="20"/>
          <w:szCs w:val="20"/>
        </w:rPr>
        <w:t xml:space="preserve">Efter biopsi av </w:t>
      </w:r>
      <w:r w:rsidRPr="00FA1B69">
        <w:rPr>
          <w:sz w:val="20"/>
          <w:szCs w:val="20"/>
        </w:rPr>
        <w:t xml:space="preserve">nativa njurar </w:t>
      </w:r>
      <w:r w:rsidR="00223BEA" w:rsidRPr="00FA1B69">
        <w:rPr>
          <w:sz w:val="20"/>
          <w:szCs w:val="20"/>
        </w:rPr>
        <w:t xml:space="preserve">behöver färre än </w:t>
      </w:r>
      <w:r w:rsidR="008F6591">
        <w:rPr>
          <w:sz w:val="20"/>
          <w:szCs w:val="20"/>
        </w:rPr>
        <w:t>2%</w:t>
      </w:r>
      <w:r w:rsidR="006878A9" w:rsidRPr="00FA1B69">
        <w:rPr>
          <w:sz w:val="20"/>
          <w:szCs w:val="20"/>
        </w:rPr>
        <w:t xml:space="preserve"> </w:t>
      </w:r>
      <w:r w:rsidRPr="00FA1B69">
        <w:rPr>
          <w:sz w:val="20"/>
          <w:szCs w:val="20"/>
        </w:rPr>
        <w:t xml:space="preserve">transfunderas och </w:t>
      </w:r>
      <w:r w:rsidR="005914C9">
        <w:rPr>
          <w:sz w:val="20"/>
          <w:szCs w:val="20"/>
        </w:rPr>
        <w:t xml:space="preserve">under </w:t>
      </w:r>
      <w:r w:rsidRPr="00FA1B69">
        <w:rPr>
          <w:sz w:val="20"/>
          <w:szCs w:val="20"/>
        </w:rPr>
        <w:t>0,5% kräver blödningsstoppande intervention</w:t>
      </w:r>
      <w:r w:rsidR="00556C3E">
        <w:rPr>
          <w:sz w:val="20"/>
          <w:szCs w:val="20"/>
        </w:rPr>
        <w:t>. R</w:t>
      </w:r>
      <w:r w:rsidR="00897F22" w:rsidRPr="00FA1B69">
        <w:rPr>
          <w:sz w:val="20"/>
          <w:szCs w:val="20"/>
        </w:rPr>
        <w:t xml:space="preserve">isken </w:t>
      </w:r>
      <w:r w:rsidR="00223BEA" w:rsidRPr="00FA1B69">
        <w:rPr>
          <w:sz w:val="20"/>
          <w:szCs w:val="20"/>
        </w:rPr>
        <w:t xml:space="preserve">är </w:t>
      </w:r>
      <w:r w:rsidR="001962DD" w:rsidRPr="00FA1B69">
        <w:rPr>
          <w:sz w:val="20"/>
          <w:szCs w:val="20"/>
        </w:rPr>
        <w:t xml:space="preserve">något </w:t>
      </w:r>
      <w:r w:rsidR="00897F22" w:rsidRPr="00FA1B69">
        <w:rPr>
          <w:sz w:val="20"/>
          <w:szCs w:val="20"/>
        </w:rPr>
        <w:t xml:space="preserve">högre vid </w:t>
      </w:r>
      <w:r w:rsidR="004C0EFF" w:rsidRPr="00FA1B69">
        <w:rPr>
          <w:sz w:val="20"/>
          <w:szCs w:val="20"/>
        </w:rPr>
        <w:t xml:space="preserve">akut njursvikt </w:t>
      </w:r>
      <w:r w:rsidR="00CA5E50" w:rsidRPr="00FA1B69">
        <w:rPr>
          <w:sz w:val="20"/>
          <w:szCs w:val="20"/>
        </w:rPr>
        <w:t>och</w:t>
      </w:r>
      <w:r w:rsidR="00223BEA" w:rsidRPr="00FA1B69">
        <w:rPr>
          <w:sz w:val="20"/>
          <w:szCs w:val="20"/>
        </w:rPr>
        <w:t xml:space="preserve"> </w:t>
      </w:r>
      <w:r w:rsidR="001A0184" w:rsidRPr="00FA1B69">
        <w:rPr>
          <w:sz w:val="20"/>
          <w:szCs w:val="20"/>
        </w:rPr>
        <w:t xml:space="preserve">för </w:t>
      </w:r>
      <w:r w:rsidR="00897F22" w:rsidRPr="00FA1B69">
        <w:rPr>
          <w:sz w:val="20"/>
          <w:szCs w:val="20"/>
        </w:rPr>
        <w:t>inneliggande patient</w:t>
      </w:r>
      <w:r w:rsidR="00223BEA" w:rsidRPr="00FA1B69">
        <w:rPr>
          <w:sz w:val="20"/>
          <w:szCs w:val="20"/>
        </w:rPr>
        <w:t>er</w:t>
      </w:r>
      <w:r w:rsidR="00CA5E50" w:rsidRPr="00FA1B69">
        <w:rPr>
          <w:sz w:val="20"/>
          <w:szCs w:val="20"/>
        </w:rPr>
        <w:t xml:space="preserve"> (3% respektive 1%)</w:t>
      </w:r>
      <w:r w:rsidR="00262B49">
        <w:rPr>
          <w:sz w:val="20"/>
          <w:szCs w:val="20"/>
        </w:rPr>
        <w:t xml:space="preserve"> </w:t>
      </w:r>
      <w:r w:rsidR="00AD5AB0" w:rsidRPr="00FA1B69">
        <w:rPr>
          <w:sz w:val="20"/>
          <w:szCs w:val="20"/>
        </w:rPr>
        <w:t>(</w:t>
      </w:r>
      <w:proofErr w:type="gramStart"/>
      <w:r w:rsidR="00E40D22">
        <w:rPr>
          <w:sz w:val="16"/>
          <w:szCs w:val="16"/>
        </w:rPr>
        <w:t>2</w:t>
      </w:r>
      <w:r w:rsidR="00AD5AB0" w:rsidRPr="00647482">
        <w:rPr>
          <w:sz w:val="16"/>
          <w:szCs w:val="16"/>
        </w:rPr>
        <w:t>-</w:t>
      </w:r>
      <w:r w:rsidR="00E40D22">
        <w:rPr>
          <w:sz w:val="16"/>
          <w:szCs w:val="16"/>
        </w:rPr>
        <w:t>5</w:t>
      </w:r>
      <w:proofErr w:type="gramEnd"/>
      <w:r w:rsidR="00AD5AB0" w:rsidRPr="00FA1B69">
        <w:rPr>
          <w:sz w:val="20"/>
          <w:szCs w:val="20"/>
        </w:rPr>
        <w:t>)</w:t>
      </w:r>
      <w:r w:rsidR="00262B49">
        <w:rPr>
          <w:sz w:val="20"/>
          <w:szCs w:val="20"/>
        </w:rPr>
        <w:t>.</w:t>
      </w:r>
      <w:r w:rsidR="00AD5AB0" w:rsidRPr="00FA1B69">
        <w:rPr>
          <w:sz w:val="20"/>
          <w:szCs w:val="20"/>
        </w:rPr>
        <w:t xml:space="preserve"> </w:t>
      </w:r>
      <w:r w:rsidR="00C22810" w:rsidRPr="00FA1B69">
        <w:rPr>
          <w:sz w:val="20"/>
          <w:szCs w:val="20"/>
        </w:rPr>
        <w:t>Riskfaktorer för blödning efter njurbiopsi</w:t>
      </w:r>
      <w:r w:rsidR="00EB3E88" w:rsidRPr="00FA1B69">
        <w:rPr>
          <w:sz w:val="20"/>
          <w:szCs w:val="20"/>
        </w:rPr>
        <w:t xml:space="preserve"> </w:t>
      </w:r>
      <w:r w:rsidR="005914C9">
        <w:rPr>
          <w:sz w:val="20"/>
          <w:szCs w:val="20"/>
        </w:rPr>
        <w:t>finns listade</w:t>
      </w:r>
      <w:r w:rsidR="005914C9" w:rsidRPr="00FA1B69">
        <w:rPr>
          <w:sz w:val="20"/>
          <w:szCs w:val="20"/>
        </w:rPr>
        <w:t xml:space="preserve"> </w:t>
      </w:r>
      <w:r w:rsidR="00EB3E88" w:rsidRPr="00FA1B69">
        <w:rPr>
          <w:sz w:val="20"/>
          <w:szCs w:val="20"/>
        </w:rPr>
        <w:t xml:space="preserve">i </w:t>
      </w:r>
      <w:r w:rsidR="00556C3E">
        <w:rPr>
          <w:sz w:val="20"/>
          <w:szCs w:val="20"/>
        </w:rPr>
        <w:t>t</w:t>
      </w:r>
      <w:r w:rsidR="00EB3E88" w:rsidRPr="00FA1B69">
        <w:rPr>
          <w:sz w:val="20"/>
          <w:szCs w:val="20"/>
        </w:rPr>
        <w:t>abell 1</w:t>
      </w:r>
      <w:r w:rsidR="005914C9">
        <w:rPr>
          <w:sz w:val="20"/>
          <w:szCs w:val="20"/>
        </w:rPr>
        <w:t>.</w:t>
      </w:r>
      <w:r w:rsidR="00262B49">
        <w:rPr>
          <w:sz w:val="20"/>
          <w:szCs w:val="20"/>
        </w:rPr>
        <w:t xml:space="preserve"> </w:t>
      </w:r>
      <w:r w:rsidR="007E4553">
        <w:rPr>
          <w:sz w:val="20"/>
          <w:szCs w:val="20"/>
        </w:rPr>
        <w:t xml:space="preserve">Systemisk </w:t>
      </w:r>
      <w:proofErr w:type="spellStart"/>
      <w:r w:rsidR="007E4553">
        <w:rPr>
          <w:sz w:val="20"/>
          <w:szCs w:val="20"/>
        </w:rPr>
        <w:t>a</w:t>
      </w:r>
      <w:r w:rsidR="00262B49" w:rsidRPr="00FA1B69">
        <w:rPr>
          <w:sz w:val="20"/>
          <w:szCs w:val="20"/>
        </w:rPr>
        <w:t>myloidos</w:t>
      </w:r>
      <w:proofErr w:type="spellEnd"/>
      <w:r w:rsidR="00262B49" w:rsidRPr="00FA1B69">
        <w:rPr>
          <w:sz w:val="20"/>
          <w:szCs w:val="20"/>
        </w:rPr>
        <w:t xml:space="preserve"> verka</w:t>
      </w:r>
      <w:r w:rsidR="00262B49">
        <w:rPr>
          <w:sz w:val="20"/>
          <w:szCs w:val="20"/>
        </w:rPr>
        <w:t xml:space="preserve">r </w:t>
      </w:r>
      <w:r w:rsidR="00262B49" w:rsidRPr="00FA1B69">
        <w:rPr>
          <w:sz w:val="20"/>
          <w:szCs w:val="20"/>
        </w:rPr>
        <w:t xml:space="preserve">inte öka blödningsrisken </w:t>
      </w:r>
      <w:r w:rsidR="007E4553">
        <w:rPr>
          <w:sz w:val="20"/>
          <w:szCs w:val="20"/>
        </w:rPr>
        <w:t xml:space="preserve">vid njurbiopsi </w:t>
      </w:r>
      <w:r w:rsidR="00262B49" w:rsidRPr="00FA1B69">
        <w:rPr>
          <w:sz w:val="20"/>
          <w:szCs w:val="20"/>
        </w:rPr>
        <w:t xml:space="preserve">förutsatt att blodtrycket </w:t>
      </w:r>
      <w:r w:rsidR="00262B49">
        <w:rPr>
          <w:sz w:val="20"/>
          <w:szCs w:val="20"/>
        </w:rPr>
        <w:t>ä</w:t>
      </w:r>
      <w:r w:rsidR="00262B49" w:rsidRPr="00FA1B69">
        <w:rPr>
          <w:sz w:val="20"/>
          <w:szCs w:val="20"/>
        </w:rPr>
        <w:t>r välreglerat (</w:t>
      </w:r>
      <w:r w:rsidR="00262B49">
        <w:rPr>
          <w:sz w:val="16"/>
          <w:szCs w:val="16"/>
        </w:rPr>
        <w:t>6</w:t>
      </w:r>
      <w:r w:rsidR="00262B49" w:rsidRPr="00FA1B69">
        <w:rPr>
          <w:sz w:val="20"/>
          <w:szCs w:val="20"/>
        </w:rPr>
        <w:t>).</w:t>
      </w:r>
      <w:r w:rsidR="00AD5AB0">
        <w:rPr>
          <w:sz w:val="20"/>
          <w:szCs w:val="20"/>
        </w:rPr>
        <w:t xml:space="preserve"> </w:t>
      </w:r>
      <w:r w:rsidR="00954647" w:rsidRPr="00FA1B69">
        <w:rPr>
          <w:sz w:val="20"/>
          <w:szCs w:val="20"/>
        </w:rPr>
        <w:t xml:space="preserve">98% av alla komplikationer </w:t>
      </w:r>
      <w:r w:rsidR="006E6FB0">
        <w:rPr>
          <w:sz w:val="20"/>
          <w:szCs w:val="20"/>
        </w:rPr>
        <w:t>inträffar</w:t>
      </w:r>
      <w:r w:rsidR="006E6FB0" w:rsidRPr="00FA1B69">
        <w:rPr>
          <w:sz w:val="20"/>
          <w:szCs w:val="20"/>
        </w:rPr>
        <w:t xml:space="preserve"> </w:t>
      </w:r>
      <w:r w:rsidR="00954647" w:rsidRPr="00FA1B69">
        <w:rPr>
          <w:sz w:val="20"/>
          <w:szCs w:val="20"/>
        </w:rPr>
        <w:t>inom 24 tim</w:t>
      </w:r>
      <w:r w:rsidR="006E6FB0">
        <w:rPr>
          <w:sz w:val="20"/>
          <w:szCs w:val="20"/>
        </w:rPr>
        <w:t>mar</w:t>
      </w:r>
      <w:r w:rsidR="00954647" w:rsidRPr="00FA1B69">
        <w:rPr>
          <w:sz w:val="20"/>
          <w:szCs w:val="20"/>
        </w:rPr>
        <w:t xml:space="preserve"> efter biopsin</w:t>
      </w:r>
      <w:r w:rsidR="00AD5AB0">
        <w:rPr>
          <w:sz w:val="20"/>
          <w:szCs w:val="20"/>
        </w:rPr>
        <w:t xml:space="preserve">, </w:t>
      </w:r>
      <w:r w:rsidR="00954647" w:rsidRPr="00FA1B69">
        <w:rPr>
          <w:sz w:val="20"/>
          <w:szCs w:val="20"/>
        </w:rPr>
        <w:t>100% inom 8 tim</w:t>
      </w:r>
      <w:r w:rsidR="007E4553">
        <w:rPr>
          <w:sz w:val="20"/>
          <w:szCs w:val="20"/>
        </w:rPr>
        <w:t>mar</w:t>
      </w:r>
      <w:r w:rsidR="00954647" w:rsidRPr="00FA1B69">
        <w:rPr>
          <w:sz w:val="20"/>
          <w:szCs w:val="20"/>
        </w:rPr>
        <w:t xml:space="preserve"> hos polikliniska </w:t>
      </w:r>
      <w:r w:rsidR="006E6FB0">
        <w:rPr>
          <w:sz w:val="20"/>
          <w:szCs w:val="20"/>
        </w:rPr>
        <w:t>fall</w:t>
      </w:r>
      <w:r w:rsidR="00954647" w:rsidRPr="00FA1B69">
        <w:rPr>
          <w:sz w:val="20"/>
          <w:szCs w:val="20"/>
        </w:rPr>
        <w:t xml:space="preserve"> och 90 % inom 24 tim</w:t>
      </w:r>
      <w:r w:rsidR="007E4553">
        <w:rPr>
          <w:sz w:val="20"/>
          <w:szCs w:val="20"/>
        </w:rPr>
        <w:t>mar</w:t>
      </w:r>
      <w:r w:rsidR="00954647" w:rsidRPr="00FA1B69">
        <w:rPr>
          <w:sz w:val="20"/>
          <w:szCs w:val="20"/>
        </w:rPr>
        <w:t xml:space="preserve"> hos inneliggande</w:t>
      </w:r>
      <w:r w:rsidR="005B7559">
        <w:rPr>
          <w:sz w:val="20"/>
          <w:szCs w:val="20"/>
        </w:rPr>
        <w:t xml:space="preserve"> </w:t>
      </w:r>
      <w:r w:rsidR="00E40D22" w:rsidRPr="005B7559">
        <w:rPr>
          <w:sz w:val="18"/>
          <w:szCs w:val="18"/>
        </w:rPr>
        <w:t>(</w:t>
      </w:r>
      <w:r w:rsidR="00262B49">
        <w:rPr>
          <w:sz w:val="18"/>
          <w:szCs w:val="18"/>
        </w:rPr>
        <w:t>7</w:t>
      </w:r>
      <w:r w:rsidR="00E40D22" w:rsidRPr="005B7559">
        <w:rPr>
          <w:sz w:val="18"/>
          <w:szCs w:val="18"/>
        </w:rPr>
        <w:t>)</w:t>
      </w:r>
      <w:r w:rsidR="003A18DE" w:rsidRPr="005B7559">
        <w:rPr>
          <w:sz w:val="18"/>
          <w:szCs w:val="18"/>
        </w:rPr>
        <w:t xml:space="preserve">. </w:t>
      </w:r>
      <w:r w:rsidR="00954647" w:rsidRPr="005B7559">
        <w:rPr>
          <w:sz w:val="18"/>
          <w:szCs w:val="18"/>
        </w:rPr>
        <w:t xml:space="preserve"> </w:t>
      </w:r>
      <w:r w:rsidR="00063E0A" w:rsidRPr="00FA1B69">
        <w:rPr>
          <w:sz w:val="20"/>
          <w:szCs w:val="20"/>
        </w:rPr>
        <w:t xml:space="preserve">I </w:t>
      </w:r>
      <w:r w:rsidR="00556C3E">
        <w:rPr>
          <w:sz w:val="20"/>
          <w:szCs w:val="20"/>
        </w:rPr>
        <w:t>t</w:t>
      </w:r>
      <w:r w:rsidR="00063E0A" w:rsidRPr="00FA1B69">
        <w:rPr>
          <w:sz w:val="20"/>
          <w:szCs w:val="20"/>
        </w:rPr>
        <w:t xml:space="preserve">abell </w:t>
      </w:r>
      <w:r w:rsidR="004C0EFF" w:rsidRPr="00FA1B69">
        <w:rPr>
          <w:sz w:val="20"/>
          <w:szCs w:val="20"/>
        </w:rPr>
        <w:t>2</w:t>
      </w:r>
      <w:r w:rsidR="00063E0A" w:rsidRPr="00FA1B69">
        <w:rPr>
          <w:sz w:val="20"/>
          <w:szCs w:val="20"/>
        </w:rPr>
        <w:t xml:space="preserve"> listas </w:t>
      </w:r>
      <w:r w:rsidR="00AD5AB0">
        <w:rPr>
          <w:sz w:val="20"/>
          <w:szCs w:val="20"/>
        </w:rPr>
        <w:t xml:space="preserve">absoluta och relativa </w:t>
      </w:r>
      <w:r w:rsidR="00063E0A" w:rsidRPr="00FA1B69">
        <w:rPr>
          <w:sz w:val="20"/>
          <w:szCs w:val="20"/>
        </w:rPr>
        <w:t>kontraindikationer till njurbiopsi</w:t>
      </w:r>
      <w:r w:rsidR="00262B49">
        <w:rPr>
          <w:sz w:val="20"/>
          <w:szCs w:val="20"/>
        </w:rPr>
        <w:t xml:space="preserve"> </w:t>
      </w:r>
      <w:r w:rsidR="00E40D22" w:rsidRPr="005B7559">
        <w:rPr>
          <w:sz w:val="16"/>
          <w:szCs w:val="16"/>
        </w:rPr>
        <w:t>(</w:t>
      </w:r>
      <w:r w:rsidR="00262B49">
        <w:rPr>
          <w:sz w:val="16"/>
          <w:szCs w:val="16"/>
        </w:rPr>
        <w:t>8</w:t>
      </w:r>
      <w:r w:rsidR="00E40D22" w:rsidRPr="005B7559">
        <w:rPr>
          <w:sz w:val="16"/>
          <w:szCs w:val="16"/>
        </w:rPr>
        <w:t>)</w:t>
      </w:r>
      <w:r w:rsidR="00063E0A" w:rsidRPr="005B7559">
        <w:rPr>
          <w:sz w:val="16"/>
          <w:szCs w:val="16"/>
        </w:rPr>
        <w:t>.</w:t>
      </w:r>
      <w:r w:rsidR="00A369E9" w:rsidRPr="005B7559">
        <w:rPr>
          <w:sz w:val="16"/>
          <w:szCs w:val="16"/>
        </w:rPr>
        <w:t xml:space="preserve"> </w:t>
      </w:r>
      <w:r w:rsidR="006E6FB0">
        <w:rPr>
          <w:sz w:val="20"/>
          <w:szCs w:val="20"/>
        </w:rPr>
        <w:t>Vid kontraindikationer</w:t>
      </w:r>
      <w:r w:rsidR="00556C3E">
        <w:rPr>
          <w:sz w:val="20"/>
          <w:szCs w:val="20"/>
        </w:rPr>
        <w:t>,</w:t>
      </w:r>
      <w:r w:rsidR="006E6FB0">
        <w:rPr>
          <w:sz w:val="20"/>
          <w:szCs w:val="20"/>
        </w:rPr>
        <w:t xml:space="preserve"> men samtidigt stark indikation för njurbiopsi</w:t>
      </w:r>
      <w:r w:rsidR="00556C3E">
        <w:rPr>
          <w:sz w:val="20"/>
          <w:szCs w:val="20"/>
        </w:rPr>
        <w:t>,</w:t>
      </w:r>
      <w:r w:rsidR="006E6FB0">
        <w:rPr>
          <w:sz w:val="20"/>
          <w:szCs w:val="20"/>
        </w:rPr>
        <w:t xml:space="preserve"> kan öppen kirurgisk biopsi med blodstillning utföras.</w:t>
      </w:r>
    </w:p>
    <w:p w14:paraId="56A299E5" w14:textId="77777777" w:rsidR="00D12101" w:rsidRPr="00FA1B69" w:rsidRDefault="00D12101" w:rsidP="00104C2F">
      <w:pPr>
        <w:rPr>
          <w:sz w:val="20"/>
          <w:szCs w:val="20"/>
        </w:rPr>
      </w:pPr>
    </w:p>
    <w:p w14:paraId="6D2CA06F" w14:textId="59CA4DCB" w:rsidR="00104C2F" w:rsidRPr="00FA1B69" w:rsidRDefault="00104C2F">
      <w:pPr>
        <w:rPr>
          <w:b/>
          <w:bCs/>
        </w:rPr>
      </w:pPr>
      <w:r w:rsidRPr="00FA1B69">
        <w:rPr>
          <w:b/>
          <w:bCs/>
        </w:rPr>
        <w:t>Hantering av antikoagulation</w:t>
      </w:r>
      <w:r w:rsidR="006878A9" w:rsidRPr="00FA1B69">
        <w:rPr>
          <w:b/>
          <w:bCs/>
        </w:rPr>
        <w:t xml:space="preserve"> vid njurbiopsi</w:t>
      </w:r>
    </w:p>
    <w:p w14:paraId="2B20D0AB" w14:textId="19F36A04" w:rsidR="00A66AC8" w:rsidRPr="00FA1B69" w:rsidRDefault="00C22810" w:rsidP="00A66AC8">
      <w:pPr>
        <w:rPr>
          <w:sz w:val="20"/>
          <w:szCs w:val="20"/>
        </w:rPr>
      </w:pPr>
      <w:r w:rsidRPr="00FA1B69">
        <w:rPr>
          <w:sz w:val="20"/>
          <w:szCs w:val="20"/>
        </w:rPr>
        <w:t xml:space="preserve">Historiskt har ASA ansetts vara en </w:t>
      </w:r>
      <w:r w:rsidR="00041829" w:rsidRPr="00FA1B69">
        <w:rPr>
          <w:sz w:val="20"/>
          <w:szCs w:val="20"/>
        </w:rPr>
        <w:t xml:space="preserve">kontraindikation </w:t>
      </w:r>
      <w:r w:rsidRPr="00FA1B69">
        <w:rPr>
          <w:sz w:val="20"/>
          <w:szCs w:val="20"/>
        </w:rPr>
        <w:t xml:space="preserve">för njurbiopsi, </w:t>
      </w:r>
      <w:r w:rsidR="00041829" w:rsidRPr="00FA1B69">
        <w:rPr>
          <w:sz w:val="20"/>
          <w:szCs w:val="20"/>
        </w:rPr>
        <w:t xml:space="preserve">men </w:t>
      </w:r>
      <w:r w:rsidRPr="00FA1B69">
        <w:rPr>
          <w:sz w:val="20"/>
          <w:szCs w:val="20"/>
        </w:rPr>
        <w:t xml:space="preserve">det finns </w:t>
      </w:r>
      <w:r w:rsidR="006878A9" w:rsidRPr="00FA1B69">
        <w:rPr>
          <w:sz w:val="20"/>
          <w:szCs w:val="20"/>
        </w:rPr>
        <w:t>ingen konsensus</w:t>
      </w:r>
      <w:r w:rsidRPr="00FA1B69">
        <w:rPr>
          <w:sz w:val="20"/>
          <w:szCs w:val="20"/>
        </w:rPr>
        <w:t xml:space="preserve"> om hur </w:t>
      </w:r>
      <w:r w:rsidR="00D02517" w:rsidRPr="00FA1B69">
        <w:rPr>
          <w:sz w:val="20"/>
          <w:szCs w:val="20"/>
        </w:rPr>
        <w:t>l</w:t>
      </w:r>
      <w:r w:rsidRPr="00FA1B69">
        <w:rPr>
          <w:sz w:val="20"/>
          <w:szCs w:val="20"/>
        </w:rPr>
        <w:t>ångt ASA-uppehållet skall vara före ingreppet</w:t>
      </w:r>
      <w:r w:rsidR="00556C3E">
        <w:rPr>
          <w:sz w:val="20"/>
          <w:szCs w:val="20"/>
        </w:rPr>
        <w:t>,</w:t>
      </w:r>
      <w:r w:rsidRPr="00FA1B69">
        <w:rPr>
          <w:sz w:val="20"/>
          <w:szCs w:val="20"/>
        </w:rPr>
        <w:t xml:space="preserve"> </w:t>
      </w:r>
      <w:r w:rsidR="00041829" w:rsidRPr="00FA1B69">
        <w:rPr>
          <w:sz w:val="20"/>
          <w:szCs w:val="20"/>
        </w:rPr>
        <w:t>d</w:t>
      </w:r>
      <w:r w:rsidR="00B46FA1" w:rsidRPr="00FA1B69">
        <w:rPr>
          <w:sz w:val="20"/>
          <w:szCs w:val="20"/>
        </w:rPr>
        <w:t>är allt</w:t>
      </w:r>
      <w:r w:rsidR="00041829" w:rsidRPr="00FA1B69">
        <w:rPr>
          <w:sz w:val="20"/>
          <w:szCs w:val="20"/>
        </w:rPr>
        <w:t xml:space="preserve"> från </w:t>
      </w:r>
      <w:r w:rsidR="00226A6B" w:rsidRPr="00FA1B69">
        <w:rPr>
          <w:sz w:val="20"/>
          <w:szCs w:val="20"/>
        </w:rPr>
        <w:t>3</w:t>
      </w:r>
      <w:r w:rsidR="00FF6259" w:rsidRPr="00FA1B69">
        <w:rPr>
          <w:sz w:val="20"/>
          <w:szCs w:val="20"/>
        </w:rPr>
        <w:t xml:space="preserve"> till </w:t>
      </w:r>
      <w:r w:rsidRPr="00FA1B69">
        <w:rPr>
          <w:sz w:val="20"/>
          <w:szCs w:val="20"/>
        </w:rPr>
        <w:t>7</w:t>
      </w:r>
      <w:r w:rsidR="00FF6259" w:rsidRPr="00FA1B69">
        <w:rPr>
          <w:sz w:val="20"/>
          <w:szCs w:val="20"/>
        </w:rPr>
        <w:t xml:space="preserve"> </w:t>
      </w:r>
      <w:r w:rsidRPr="00FA1B69">
        <w:rPr>
          <w:sz w:val="20"/>
          <w:szCs w:val="20"/>
        </w:rPr>
        <w:t>d</w:t>
      </w:r>
      <w:r w:rsidR="00B46FA1" w:rsidRPr="00FA1B69">
        <w:rPr>
          <w:sz w:val="20"/>
          <w:szCs w:val="20"/>
        </w:rPr>
        <w:t>agar föreslagits</w:t>
      </w:r>
      <w:r w:rsidR="00041829" w:rsidRPr="00FA1B69">
        <w:rPr>
          <w:sz w:val="20"/>
          <w:szCs w:val="20"/>
        </w:rPr>
        <w:t>.</w:t>
      </w:r>
      <w:r w:rsidR="00FF6259" w:rsidRPr="00FA1B69">
        <w:rPr>
          <w:sz w:val="20"/>
          <w:szCs w:val="20"/>
        </w:rPr>
        <w:t xml:space="preserve"> (</w:t>
      </w:r>
      <w:proofErr w:type="gramStart"/>
      <w:r w:rsidR="00BA6FD5">
        <w:rPr>
          <w:sz w:val="16"/>
          <w:szCs w:val="16"/>
        </w:rPr>
        <w:t>9-10</w:t>
      </w:r>
      <w:proofErr w:type="gramEnd"/>
      <w:r w:rsidR="00FF6259" w:rsidRPr="00FA1B69">
        <w:rPr>
          <w:sz w:val="20"/>
          <w:szCs w:val="20"/>
        </w:rPr>
        <w:t>).</w:t>
      </w:r>
      <w:r w:rsidRPr="00FA1B69">
        <w:rPr>
          <w:sz w:val="20"/>
          <w:szCs w:val="20"/>
        </w:rPr>
        <w:t xml:space="preserve"> </w:t>
      </w:r>
      <w:r w:rsidR="00FF6259" w:rsidRPr="00FA1B69">
        <w:rPr>
          <w:sz w:val="20"/>
          <w:szCs w:val="20"/>
        </w:rPr>
        <w:t>Vid studier av</w:t>
      </w:r>
      <w:r w:rsidRPr="00FA1B69">
        <w:rPr>
          <w:sz w:val="20"/>
          <w:szCs w:val="20"/>
        </w:rPr>
        <w:t xml:space="preserve"> riskfaktorer för blödning </w:t>
      </w:r>
      <w:r w:rsidR="00B46FA1" w:rsidRPr="00FA1B69">
        <w:rPr>
          <w:sz w:val="20"/>
          <w:szCs w:val="20"/>
        </w:rPr>
        <w:t>efter</w:t>
      </w:r>
      <w:r w:rsidRPr="00FA1B69">
        <w:rPr>
          <w:sz w:val="20"/>
          <w:szCs w:val="20"/>
        </w:rPr>
        <w:t xml:space="preserve"> njurbiopsi </w:t>
      </w:r>
      <w:r w:rsidR="00B7347E">
        <w:rPr>
          <w:sz w:val="20"/>
          <w:szCs w:val="20"/>
        </w:rPr>
        <w:t>på</w:t>
      </w:r>
      <w:r w:rsidRPr="00FA1B69">
        <w:rPr>
          <w:sz w:val="20"/>
          <w:szCs w:val="20"/>
        </w:rPr>
        <w:t>visade</w:t>
      </w:r>
      <w:r w:rsidR="00B7347E">
        <w:rPr>
          <w:sz w:val="20"/>
          <w:szCs w:val="20"/>
        </w:rPr>
        <w:t>s</w:t>
      </w:r>
      <w:r w:rsidRPr="00FA1B69">
        <w:rPr>
          <w:sz w:val="20"/>
          <w:szCs w:val="20"/>
        </w:rPr>
        <w:t xml:space="preserve"> ingen ökad risk för ASA-användare</w:t>
      </w:r>
      <w:r w:rsidR="00FF6259" w:rsidRPr="00FA1B69">
        <w:rPr>
          <w:sz w:val="20"/>
          <w:szCs w:val="20"/>
        </w:rPr>
        <w:t xml:space="preserve"> (</w:t>
      </w:r>
      <w:r w:rsidR="00BA6FD5">
        <w:rPr>
          <w:sz w:val="16"/>
          <w:szCs w:val="16"/>
        </w:rPr>
        <w:t>11</w:t>
      </w:r>
      <w:r w:rsidR="00FF6259" w:rsidRPr="00FA1B69">
        <w:rPr>
          <w:i/>
          <w:iCs/>
          <w:sz w:val="20"/>
          <w:szCs w:val="20"/>
        </w:rPr>
        <w:t>)</w:t>
      </w:r>
      <w:r w:rsidRPr="00FA1B69">
        <w:rPr>
          <w:sz w:val="20"/>
          <w:szCs w:val="20"/>
        </w:rPr>
        <w:t xml:space="preserve">. Däremot </w:t>
      </w:r>
      <w:r w:rsidR="00FF6259" w:rsidRPr="00FA1B69">
        <w:rPr>
          <w:sz w:val="20"/>
          <w:szCs w:val="20"/>
        </w:rPr>
        <w:t>fanns en</w:t>
      </w:r>
      <w:r w:rsidRPr="00FA1B69">
        <w:rPr>
          <w:sz w:val="20"/>
          <w:szCs w:val="20"/>
        </w:rPr>
        <w:t xml:space="preserve"> ökad </w:t>
      </w:r>
      <w:r w:rsidR="00C63D64" w:rsidRPr="00FA1B69">
        <w:rPr>
          <w:sz w:val="20"/>
          <w:szCs w:val="20"/>
        </w:rPr>
        <w:t xml:space="preserve">förekomst av något högre </w:t>
      </w:r>
      <w:r w:rsidR="00C63D64" w:rsidRPr="001A3BEC">
        <w:rPr>
          <w:sz w:val="20"/>
          <w:szCs w:val="20"/>
        </w:rPr>
        <w:t>minor</w:t>
      </w:r>
      <w:r w:rsidR="00C63D64" w:rsidRPr="00FA1B69">
        <w:rPr>
          <w:sz w:val="20"/>
          <w:szCs w:val="20"/>
        </w:rPr>
        <w:t xml:space="preserve"> risk (</w:t>
      </w:r>
      <w:r w:rsidR="006878A9" w:rsidRPr="00FA1B69">
        <w:rPr>
          <w:sz w:val="20"/>
          <w:szCs w:val="20"/>
        </w:rPr>
        <w:t>def</w:t>
      </w:r>
      <w:r w:rsidR="00226A6B" w:rsidRPr="00FA1B69">
        <w:rPr>
          <w:sz w:val="20"/>
          <w:szCs w:val="20"/>
        </w:rPr>
        <w:t>inition</w:t>
      </w:r>
      <w:r w:rsidR="00A23937">
        <w:rPr>
          <w:sz w:val="20"/>
          <w:szCs w:val="20"/>
        </w:rPr>
        <w:t>:</w:t>
      </w:r>
      <w:r w:rsidR="006878A9" w:rsidRPr="00FA1B69">
        <w:rPr>
          <w:sz w:val="20"/>
          <w:szCs w:val="20"/>
        </w:rPr>
        <w:t xml:space="preserve"> </w:t>
      </w:r>
      <w:r w:rsidR="00C63D64" w:rsidRPr="00FA1B69">
        <w:rPr>
          <w:sz w:val="20"/>
          <w:szCs w:val="20"/>
        </w:rPr>
        <w:t>Hb-</w:t>
      </w:r>
      <w:r w:rsidR="00226A6B" w:rsidRPr="00FA1B69">
        <w:rPr>
          <w:sz w:val="20"/>
          <w:szCs w:val="20"/>
        </w:rPr>
        <w:t xml:space="preserve">tapp </w:t>
      </w:r>
      <w:r w:rsidR="00C63D64" w:rsidRPr="00FA1B69">
        <w:rPr>
          <w:sz w:val="20"/>
          <w:szCs w:val="20"/>
        </w:rPr>
        <w:t>med 10 enheter)</w:t>
      </w:r>
      <w:r w:rsidRPr="00FA1B69">
        <w:rPr>
          <w:sz w:val="20"/>
          <w:szCs w:val="20"/>
        </w:rPr>
        <w:t xml:space="preserve"> </w:t>
      </w:r>
      <w:r w:rsidR="00C63D64" w:rsidRPr="00FA1B69">
        <w:rPr>
          <w:sz w:val="20"/>
          <w:szCs w:val="20"/>
        </w:rPr>
        <w:t>vid</w:t>
      </w:r>
      <w:r w:rsidRPr="00FA1B69">
        <w:rPr>
          <w:sz w:val="20"/>
          <w:szCs w:val="20"/>
        </w:rPr>
        <w:t xml:space="preserve"> akuta</w:t>
      </w:r>
      <w:r w:rsidR="00C63D64" w:rsidRPr="00FA1B69">
        <w:rPr>
          <w:sz w:val="20"/>
          <w:szCs w:val="20"/>
        </w:rPr>
        <w:t xml:space="preserve"> biopsier</w:t>
      </w:r>
      <w:r w:rsidRPr="00FA1B69">
        <w:rPr>
          <w:sz w:val="20"/>
          <w:szCs w:val="20"/>
        </w:rPr>
        <w:t xml:space="preserve"> </w:t>
      </w:r>
      <w:r w:rsidR="00FF6259" w:rsidRPr="00FA1B69">
        <w:rPr>
          <w:sz w:val="20"/>
          <w:szCs w:val="20"/>
        </w:rPr>
        <w:t xml:space="preserve">jämfört </w:t>
      </w:r>
      <w:r w:rsidRPr="00FA1B69">
        <w:rPr>
          <w:sz w:val="20"/>
          <w:szCs w:val="20"/>
        </w:rPr>
        <w:t>med polikliniska elektiva fall</w:t>
      </w:r>
      <w:r w:rsidR="00C63D64" w:rsidRPr="00FA1B69">
        <w:rPr>
          <w:sz w:val="20"/>
          <w:szCs w:val="20"/>
        </w:rPr>
        <w:t>.</w:t>
      </w:r>
      <w:r w:rsidR="00B46FA1" w:rsidRPr="00FA1B69">
        <w:rPr>
          <w:sz w:val="20"/>
          <w:szCs w:val="20"/>
        </w:rPr>
        <w:t xml:space="preserve"> </w:t>
      </w:r>
      <w:r w:rsidR="00FF6259" w:rsidRPr="00FA1B69">
        <w:rPr>
          <w:sz w:val="20"/>
          <w:szCs w:val="20"/>
        </w:rPr>
        <w:t xml:space="preserve">I en studie av </w:t>
      </w:r>
      <w:r w:rsidR="00A66AC8" w:rsidRPr="00FA1B69">
        <w:rPr>
          <w:sz w:val="20"/>
          <w:szCs w:val="20"/>
        </w:rPr>
        <w:t xml:space="preserve">1120 </w:t>
      </w:r>
      <w:proofErr w:type="spellStart"/>
      <w:r w:rsidR="00FF6259" w:rsidRPr="00FA1B69">
        <w:rPr>
          <w:sz w:val="20"/>
          <w:szCs w:val="20"/>
        </w:rPr>
        <w:t>biopserade</w:t>
      </w:r>
      <w:proofErr w:type="spellEnd"/>
      <w:r w:rsidR="00FF6259" w:rsidRPr="00FA1B69">
        <w:rPr>
          <w:sz w:val="20"/>
          <w:szCs w:val="20"/>
        </w:rPr>
        <w:t xml:space="preserve"> </w:t>
      </w:r>
      <w:r w:rsidR="00A66AC8" w:rsidRPr="00FA1B69">
        <w:rPr>
          <w:sz w:val="20"/>
          <w:szCs w:val="20"/>
        </w:rPr>
        <w:t>pat</w:t>
      </w:r>
      <w:r w:rsidR="00041829" w:rsidRPr="00FA1B69">
        <w:rPr>
          <w:sz w:val="20"/>
          <w:szCs w:val="20"/>
        </w:rPr>
        <w:t>ienter</w:t>
      </w:r>
      <w:r w:rsidR="00A66AC8" w:rsidRPr="00FA1B69">
        <w:rPr>
          <w:sz w:val="20"/>
          <w:szCs w:val="20"/>
        </w:rPr>
        <w:t xml:space="preserve"> </w:t>
      </w:r>
      <w:r w:rsidR="00041829" w:rsidRPr="00FA1B69">
        <w:rPr>
          <w:sz w:val="20"/>
          <w:szCs w:val="20"/>
        </w:rPr>
        <w:t xml:space="preserve">varav </w:t>
      </w:r>
      <w:r w:rsidR="00A66AC8" w:rsidRPr="00FA1B69">
        <w:rPr>
          <w:sz w:val="20"/>
          <w:szCs w:val="20"/>
        </w:rPr>
        <w:t xml:space="preserve">75 </w:t>
      </w:r>
      <w:r w:rsidR="001A4A1D" w:rsidRPr="00FA1B69">
        <w:rPr>
          <w:sz w:val="20"/>
          <w:szCs w:val="20"/>
        </w:rPr>
        <w:t>personer</w:t>
      </w:r>
      <w:r w:rsidR="00A66AC8" w:rsidRPr="00FA1B69">
        <w:rPr>
          <w:sz w:val="20"/>
          <w:szCs w:val="20"/>
        </w:rPr>
        <w:t xml:space="preserve"> stod på ASA </w:t>
      </w:r>
      <w:r w:rsidR="00FF6259" w:rsidRPr="00FA1B69">
        <w:rPr>
          <w:sz w:val="20"/>
          <w:szCs w:val="20"/>
        </w:rPr>
        <w:t>föll å</w:t>
      </w:r>
      <w:r w:rsidR="00A66AC8" w:rsidRPr="00FA1B69">
        <w:rPr>
          <w:sz w:val="20"/>
          <w:szCs w:val="20"/>
        </w:rPr>
        <w:t>lder, kön och försämrad njurfunk</w:t>
      </w:r>
      <w:r w:rsidR="00297132">
        <w:rPr>
          <w:sz w:val="20"/>
          <w:szCs w:val="20"/>
        </w:rPr>
        <w:t>tion</w:t>
      </w:r>
      <w:r w:rsidR="00A66AC8" w:rsidRPr="00FA1B69">
        <w:rPr>
          <w:sz w:val="20"/>
          <w:szCs w:val="20"/>
        </w:rPr>
        <w:t xml:space="preserve"> ut som risk</w:t>
      </w:r>
      <w:r w:rsidR="00FF6259" w:rsidRPr="00FA1B69">
        <w:rPr>
          <w:sz w:val="20"/>
          <w:szCs w:val="20"/>
        </w:rPr>
        <w:t>faktorer</w:t>
      </w:r>
      <w:r w:rsidR="00A66AC8" w:rsidRPr="00FA1B69">
        <w:rPr>
          <w:sz w:val="20"/>
          <w:szCs w:val="20"/>
        </w:rPr>
        <w:t xml:space="preserve"> </w:t>
      </w:r>
      <w:r w:rsidR="00041829" w:rsidRPr="00FA1B69">
        <w:rPr>
          <w:sz w:val="20"/>
          <w:szCs w:val="20"/>
        </w:rPr>
        <w:t xml:space="preserve">för blödning </w:t>
      </w:r>
      <w:r w:rsidR="00A66AC8" w:rsidRPr="00FA1B69">
        <w:rPr>
          <w:sz w:val="20"/>
          <w:szCs w:val="20"/>
        </w:rPr>
        <w:t xml:space="preserve">men </w:t>
      </w:r>
      <w:r w:rsidR="004733E6" w:rsidRPr="00FA1B69">
        <w:rPr>
          <w:sz w:val="20"/>
          <w:szCs w:val="20"/>
        </w:rPr>
        <w:t>inte</w:t>
      </w:r>
      <w:r w:rsidR="00A66AC8" w:rsidRPr="00FA1B69">
        <w:rPr>
          <w:sz w:val="20"/>
          <w:szCs w:val="20"/>
        </w:rPr>
        <w:t xml:space="preserve"> ASA</w:t>
      </w:r>
      <w:r w:rsidR="00041829" w:rsidRPr="00FA1B69">
        <w:rPr>
          <w:sz w:val="20"/>
          <w:szCs w:val="20"/>
        </w:rPr>
        <w:t>-behandling</w:t>
      </w:r>
      <w:r w:rsidR="006E6FB0">
        <w:rPr>
          <w:sz w:val="20"/>
          <w:szCs w:val="20"/>
        </w:rPr>
        <w:t xml:space="preserve"> </w:t>
      </w:r>
      <w:r w:rsidR="00FF6259" w:rsidRPr="00FA1B69">
        <w:rPr>
          <w:sz w:val="20"/>
          <w:szCs w:val="20"/>
        </w:rPr>
        <w:t>(</w:t>
      </w:r>
      <w:r w:rsidR="00BA6FD5">
        <w:rPr>
          <w:sz w:val="16"/>
          <w:szCs w:val="16"/>
        </w:rPr>
        <w:t>12</w:t>
      </w:r>
      <w:r w:rsidR="00FF6259" w:rsidRPr="00FA1B69">
        <w:rPr>
          <w:i/>
          <w:iCs/>
          <w:sz w:val="20"/>
          <w:szCs w:val="20"/>
        </w:rPr>
        <w:t>)</w:t>
      </w:r>
      <w:r w:rsidR="00041829" w:rsidRPr="00FA1B69">
        <w:rPr>
          <w:sz w:val="20"/>
          <w:szCs w:val="20"/>
        </w:rPr>
        <w:t xml:space="preserve">. </w:t>
      </w:r>
      <w:proofErr w:type="spellStart"/>
      <w:r w:rsidR="00FF6259" w:rsidRPr="00FA1B69">
        <w:rPr>
          <w:sz w:val="20"/>
          <w:szCs w:val="20"/>
        </w:rPr>
        <w:t>Högdos</w:t>
      </w:r>
      <w:proofErr w:type="spellEnd"/>
      <w:r w:rsidR="00FF6259" w:rsidRPr="00FA1B69">
        <w:rPr>
          <w:sz w:val="20"/>
          <w:szCs w:val="20"/>
        </w:rPr>
        <w:t xml:space="preserve"> ASA (</w:t>
      </w:r>
      <w:r w:rsidR="00FF6259" w:rsidRPr="00FA1B69">
        <w:rPr>
          <w:rFonts w:cstheme="minorHAnsi"/>
          <w:sz w:val="20"/>
          <w:szCs w:val="20"/>
        </w:rPr>
        <w:t>≥</w:t>
      </w:r>
      <w:r w:rsidR="00FF6259" w:rsidRPr="00FA1B69">
        <w:rPr>
          <w:sz w:val="20"/>
          <w:szCs w:val="20"/>
        </w:rPr>
        <w:t xml:space="preserve">325 mg / dag) </w:t>
      </w:r>
      <w:r w:rsidR="00A66AC8" w:rsidRPr="00FA1B69">
        <w:rPr>
          <w:sz w:val="20"/>
          <w:szCs w:val="20"/>
        </w:rPr>
        <w:t>inom 3 d</w:t>
      </w:r>
      <w:r w:rsidR="003D081B">
        <w:rPr>
          <w:sz w:val="20"/>
          <w:szCs w:val="20"/>
        </w:rPr>
        <w:t>agar</w:t>
      </w:r>
      <w:r w:rsidR="00A66AC8" w:rsidRPr="00FA1B69">
        <w:rPr>
          <w:sz w:val="20"/>
          <w:szCs w:val="20"/>
        </w:rPr>
        <w:t xml:space="preserve"> före biopsi ökade blödningsrisk</w:t>
      </w:r>
      <w:r w:rsidR="00FF6259" w:rsidRPr="00FA1B69">
        <w:rPr>
          <w:sz w:val="20"/>
          <w:szCs w:val="20"/>
        </w:rPr>
        <w:t>en</w:t>
      </w:r>
      <w:r w:rsidR="00556C3E">
        <w:rPr>
          <w:sz w:val="20"/>
          <w:szCs w:val="20"/>
        </w:rPr>
        <w:t>,</w:t>
      </w:r>
      <w:r w:rsidR="00FF6259" w:rsidRPr="00FA1B69">
        <w:rPr>
          <w:sz w:val="20"/>
          <w:szCs w:val="20"/>
        </w:rPr>
        <w:t xml:space="preserve"> särskilt</w:t>
      </w:r>
      <w:r w:rsidR="00A66AC8" w:rsidRPr="00FA1B69">
        <w:rPr>
          <w:sz w:val="20"/>
          <w:szCs w:val="20"/>
        </w:rPr>
        <w:t xml:space="preserve"> om dosen givits samma dag som biopsin</w:t>
      </w:r>
      <w:r w:rsidR="00BD1EC0" w:rsidRPr="00FA1B69">
        <w:rPr>
          <w:sz w:val="20"/>
          <w:szCs w:val="20"/>
        </w:rPr>
        <w:t xml:space="preserve"> (</w:t>
      </w:r>
      <w:r w:rsidR="00BA6FD5" w:rsidRPr="005B7559">
        <w:rPr>
          <w:sz w:val="16"/>
          <w:szCs w:val="16"/>
        </w:rPr>
        <w:t>13</w:t>
      </w:r>
      <w:r w:rsidR="00BD1EC0" w:rsidRPr="00FA1B69">
        <w:rPr>
          <w:sz w:val="20"/>
          <w:szCs w:val="20"/>
        </w:rPr>
        <w:t>)</w:t>
      </w:r>
      <w:r w:rsidR="00297132">
        <w:rPr>
          <w:sz w:val="20"/>
          <w:szCs w:val="20"/>
        </w:rPr>
        <w:t xml:space="preserve">. </w:t>
      </w:r>
      <w:r w:rsidR="003D081B">
        <w:rPr>
          <w:sz w:val="20"/>
          <w:szCs w:val="20"/>
        </w:rPr>
        <w:t xml:space="preserve">Det är värt att notera att </w:t>
      </w:r>
      <w:r w:rsidR="00297132" w:rsidRPr="00334A70">
        <w:rPr>
          <w:sz w:val="20"/>
          <w:szCs w:val="20"/>
        </w:rPr>
        <w:t xml:space="preserve">SSTH (svenska sällskapet för trombos och </w:t>
      </w:r>
      <w:proofErr w:type="spellStart"/>
      <w:r w:rsidR="00297132" w:rsidRPr="00334A70">
        <w:rPr>
          <w:sz w:val="20"/>
          <w:szCs w:val="20"/>
        </w:rPr>
        <w:t>hemostas</w:t>
      </w:r>
      <w:proofErr w:type="spellEnd"/>
      <w:r w:rsidR="00297132" w:rsidRPr="00334A70">
        <w:rPr>
          <w:sz w:val="20"/>
          <w:szCs w:val="20"/>
        </w:rPr>
        <w:t>) rekommenderar utsättning</w:t>
      </w:r>
      <w:r w:rsidR="00334A70">
        <w:rPr>
          <w:sz w:val="20"/>
          <w:szCs w:val="20"/>
        </w:rPr>
        <w:t xml:space="preserve"> av ASA</w:t>
      </w:r>
      <w:r w:rsidR="00297132" w:rsidRPr="00334A70">
        <w:rPr>
          <w:sz w:val="20"/>
          <w:szCs w:val="20"/>
        </w:rPr>
        <w:t xml:space="preserve"> enbart 1 d</w:t>
      </w:r>
      <w:r w:rsidR="00334A70">
        <w:rPr>
          <w:sz w:val="20"/>
          <w:szCs w:val="20"/>
        </w:rPr>
        <w:t>ag</w:t>
      </w:r>
      <w:r w:rsidR="00297132" w:rsidRPr="00334A70">
        <w:rPr>
          <w:sz w:val="20"/>
          <w:szCs w:val="20"/>
        </w:rPr>
        <w:t xml:space="preserve"> före stor kirurgi. Svensk Förening för Anestesi och Intensivvård (SFAI) rekommenderar tillfällig utsättning av ASA samma dag som </w:t>
      </w:r>
      <w:proofErr w:type="spellStart"/>
      <w:r w:rsidR="00297132" w:rsidRPr="00334A70">
        <w:rPr>
          <w:sz w:val="20"/>
          <w:szCs w:val="20"/>
        </w:rPr>
        <w:t>spinaler</w:t>
      </w:r>
      <w:proofErr w:type="spellEnd"/>
      <w:r w:rsidR="00297132" w:rsidRPr="00334A70">
        <w:rPr>
          <w:sz w:val="20"/>
          <w:szCs w:val="20"/>
        </w:rPr>
        <w:t xml:space="preserve"> och </w:t>
      </w:r>
      <w:proofErr w:type="spellStart"/>
      <w:r w:rsidR="00297132" w:rsidRPr="00334A70">
        <w:rPr>
          <w:sz w:val="20"/>
          <w:szCs w:val="20"/>
        </w:rPr>
        <w:t>epiduraler</w:t>
      </w:r>
      <w:proofErr w:type="spellEnd"/>
      <w:r w:rsidR="00297132" w:rsidRPr="00334A70">
        <w:rPr>
          <w:sz w:val="20"/>
          <w:szCs w:val="20"/>
        </w:rPr>
        <w:t>.</w:t>
      </w:r>
      <w:r w:rsidR="004D453A">
        <w:rPr>
          <w:sz w:val="20"/>
          <w:szCs w:val="20"/>
        </w:rPr>
        <w:t xml:space="preserve"> Nyare riktlinjer från ESAIC och ESRA tillåter </w:t>
      </w:r>
      <w:proofErr w:type="spellStart"/>
      <w:r w:rsidR="004D453A">
        <w:rPr>
          <w:sz w:val="20"/>
          <w:szCs w:val="20"/>
        </w:rPr>
        <w:t>spinaler</w:t>
      </w:r>
      <w:proofErr w:type="spellEnd"/>
      <w:r w:rsidR="004D453A">
        <w:rPr>
          <w:sz w:val="20"/>
          <w:szCs w:val="20"/>
        </w:rPr>
        <w:t xml:space="preserve"> och </w:t>
      </w:r>
      <w:proofErr w:type="spellStart"/>
      <w:r w:rsidR="004D453A">
        <w:rPr>
          <w:sz w:val="20"/>
          <w:szCs w:val="20"/>
        </w:rPr>
        <w:t>epiduraler</w:t>
      </w:r>
      <w:proofErr w:type="spellEnd"/>
      <w:r w:rsidR="004D453A">
        <w:rPr>
          <w:sz w:val="20"/>
          <w:szCs w:val="20"/>
        </w:rPr>
        <w:t xml:space="preserve"> samma dag som intag av ASA &lt;200mg</w:t>
      </w:r>
      <w:r w:rsidR="006354D3">
        <w:rPr>
          <w:sz w:val="20"/>
          <w:szCs w:val="20"/>
        </w:rPr>
        <w:t xml:space="preserve"> (</w:t>
      </w:r>
      <w:r w:rsidR="006354D3" w:rsidRPr="00DC2E77">
        <w:rPr>
          <w:sz w:val="16"/>
          <w:szCs w:val="16"/>
        </w:rPr>
        <w:t>14</w:t>
      </w:r>
      <w:r w:rsidR="006354D3">
        <w:rPr>
          <w:sz w:val="20"/>
          <w:szCs w:val="20"/>
        </w:rPr>
        <w:t>).</w:t>
      </w:r>
      <w:r w:rsidR="004D453A">
        <w:rPr>
          <w:sz w:val="20"/>
          <w:szCs w:val="20"/>
        </w:rPr>
        <w:t xml:space="preserve"> </w:t>
      </w:r>
    </w:p>
    <w:p w14:paraId="647AFD77" w14:textId="51FFF049" w:rsidR="00BF27C7" w:rsidRDefault="004D453A" w:rsidP="00A66AC8">
      <w:pPr>
        <w:rPr>
          <w:sz w:val="20"/>
          <w:szCs w:val="20"/>
        </w:rPr>
      </w:pPr>
      <w:r>
        <w:rPr>
          <w:sz w:val="20"/>
          <w:szCs w:val="20"/>
        </w:rPr>
        <w:t>Även om ASA kan anses utgöra en väldigt låg risk för blödning</w:t>
      </w:r>
      <w:r w:rsidR="00A66AC8" w:rsidRPr="00FA1B69">
        <w:rPr>
          <w:sz w:val="20"/>
          <w:szCs w:val="20"/>
        </w:rPr>
        <w:t xml:space="preserve">, </w:t>
      </w:r>
      <w:r w:rsidR="00D85AF9" w:rsidRPr="00FA1B69">
        <w:rPr>
          <w:sz w:val="20"/>
          <w:szCs w:val="20"/>
        </w:rPr>
        <w:t xml:space="preserve">kan </w:t>
      </w:r>
      <w:r w:rsidR="00875B65" w:rsidRPr="00FA1B69">
        <w:rPr>
          <w:sz w:val="20"/>
          <w:szCs w:val="20"/>
        </w:rPr>
        <w:t xml:space="preserve">vissa se skäl att </w:t>
      </w:r>
      <w:r w:rsidR="00A66AC8" w:rsidRPr="00FA1B69">
        <w:rPr>
          <w:sz w:val="20"/>
          <w:szCs w:val="20"/>
        </w:rPr>
        <w:t>argumentera för obligatorisk utsättning</w:t>
      </w:r>
      <w:r>
        <w:rPr>
          <w:sz w:val="20"/>
          <w:szCs w:val="20"/>
        </w:rPr>
        <w:t>. B</w:t>
      </w:r>
      <w:r w:rsidR="00A66AC8" w:rsidRPr="00FA1B69">
        <w:rPr>
          <w:sz w:val="20"/>
          <w:szCs w:val="20"/>
        </w:rPr>
        <w:t>eslutet att pausa är</w:t>
      </w:r>
      <w:r>
        <w:rPr>
          <w:sz w:val="20"/>
          <w:szCs w:val="20"/>
        </w:rPr>
        <w:t xml:space="preserve"> dock</w:t>
      </w:r>
      <w:r w:rsidR="00A66AC8" w:rsidRPr="00FA1B69">
        <w:rPr>
          <w:sz w:val="20"/>
          <w:szCs w:val="20"/>
        </w:rPr>
        <w:t xml:space="preserve"> </w:t>
      </w:r>
      <w:r w:rsidR="00041829" w:rsidRPr="00FA1B69">
        <w:rPr>
          <w:sz w:val="20"/>
          <w:szCs w:val="20"/>
        </w:rPr>
        <w:t xml:space="preserve">inte </w:t>
      </w:r>
      <w:r w:rsidR="00A66AC8" w:rsidRPr="00FA1B69">
        <w:rPr>
          <w:sz w:val="20"/>
          <w:szCs w:val="20"/>
        </w:rPr>
        <w:t xml:space="preserve">riskfritt. </w:t>
      </w:r>
      <w:r w:rsidR="00A9682D" w:rsidRPr="00FA1B69">
        <w:rPr>
          <w:sz w:val="20"/>
          <w:szCs w:val="20"/>
        </w:rPr>
        <w:t xml:space="preserve">I </w:t>
      </w:r>
      <w:r w:rsidR="00FF6259" w:rsidRPr="00FA1B69">
        <w:rPr>
          <w:sz w:val="20"/>
          <w:szCs w:val="20"/>
        </w:rPr>
        <w:t xml:space="preserve">en </w:t>
      </w:r>
      <w:r w:rsidR="00A9682D" w:rsidRPr="00FA1B69">
        <w:rPr>
          <w:sz w:val="20"/>
          <w:szCs w:val="20"/>
        </w:rPr>
        <w:t xml:space="preserve">retrospektiv studie mellan </w:t>
      </w:r>
      <w:r w:rsidR="00A23937" w:rsidRPr="00FA1B69">
        <w:rPr>
          <w:sz w:val="20"/>
          <w:szCs w:val="20"/>
        </w:rPr>
        <w:t>1970–2005</w:t>
      </w:r>
      <w:r w:rsidR="00A9682D" w:rsidRPr="00FA1B69">
        <w:rPr>
          <w:sz w:val="20"/>
          <w:szCs w:val="20"/>
        </w:rPr>
        <w:t xml:space="preserve"> konstaterade</w:t>
      </w:r>
      <w:r w:rsidR="00FF6259" w:rsidRPr="00FA1B69">
        <w:rPr>
          <w:sz w:val="20"/>
          <w:szCs w:val="20"/>
        </w:rPr>
        <w:t>s</w:t>
      </w:r>
      <w:r w:rsidR="00AB1E45" w:rsidRPr="00FA1B69">
        <w:rPr>
          <w:sz w:val="20"/>
          <w:szCs w:val="20"/>
        </w:rPr>
        <w:t xml:space="preserve"> </w:t>
      </w:r>
      <w:r w:rsidR="00A9682D" w:rsidRPr="00FA1B69">
        <w:rPr>
          <w:sz w:val="20"/>
          <w:szCs w:val="20"/>
        </w:rPr>
        <w:t>att u</w:t>
      </w:r>
      <w:r w:rsidR="00A66AC8" w:rsidRPr="00FA1B69">
        <w:rPr>
          <w:sz w:val="20"/>
          <w:szCs w:val="20"/>
        </w:rPr>
        <w:t xml:space="preserve">tsättning av ASA </w:t>
      </w:r>
      <w:r w:rsidR="00A9682D" w:rsidRPr="00FA1B69">
        <w:rPr>
          <w:sz w:val="20"/>
          <w:szCs w:val="20"/>
        </w:rPr>
        <w:t xml:space="preserve">föregick kardiovaskulära komplikationer i </w:t>
      </w:r>
      <w:r w:rsidR="00A66AC8" w:rsidRPr="00FA1B69">
        <w:rPr>
          <w:sz w:val="20"/>
          <w:szCs w:val="20"/>
        </w:rPr>
        <w:t xml:space="preserve">10,2 % av fallen </w:t>
      </w:r>
      <w:r w:rsidR="00A9682D" w:rsidRPr="00FA1B69">
        <w:rPr>
          <w:sz w:val="20"/>
          <w:szCs w:val="20"/>
        </w:rPr>
        <w:t>(</w:t>
      </w:r>
      <w:r w:rsidR="00A66AC8" w:rsidRPr="00FA1B69">
        <w:rPr>
          <w:sz w:val="20"/>
          <w:szCs w:val="20"/>
        </w:rPr>
        <w:t xml:space="preserve">ACS, CVL och akut perifer </w:t>
      </w:r>
      <w:proofErr w:type="spellStart"/>
      <w:r w:rsidR="00A66AC8" w:rsidRPr="00FA1B69">
        <w:rPr>
          <w:sz w:val="20"/>
          <w:szCs w:val="20"/>
        </w:rPr>
        <w:t>kärlsjd</w:t>
      </w:r>
      <w:proofErr w:type="spellEnd"/>
      <w:r w:rsidR="00A9682D" w:rsidRPr="00FA1B69">
        <w:rPr>
          <w:sz w:val="20"/>
          <w:szCs w:val="20"/>
        </w:rPr>
        <w:t>)</w:t>
      </w:r>
      <w:r w:rsidR="00A66AC8" w:rsidRPr="00FA1B69">
        <w:rPr>
          <w:sz w:val="20"/>
          <w:szCs w:val="20"/>
        </w:rPr>
        <w:t xml:space="preserve"> </w:t>
      </w:r>
      <w:r w:rsidR="00A66AC8" w:rsidRPr="00FA1B69">
        <w:rPr>
          <w:sz w:val="20"/>
          <w:szCs w:val="20"/>
        </w:rPr>
        <w:lastRenderedPageBreak/>
        <w:t>inom 14</w:t>
      </w:r>
      <w:r w:rsidR="0031023A" w:rsidRPr="00FA1B69">
        <w:rPr>
          <w:sz w:val="20"/>
          <w:szCs w:val="20"/>
        </w:rPr>
        <w:t xml:space="preserve"> </w:t>
      </w:r>
      <w:r w:rsidR="0043193F" w:rsidRPr="00FA1B69">
        <w:rPr>
          <w:sz w:val="20"/>
          <w:szCs w:val="20"/>
        </w:rPr>
        <w:t>d</w:t>
      </w:r>
      <w:r w:rsidR="0031023A" w:rsidRPr="00FA1B69">
        <w:rPr>
          <w:sz w:val="20"/>
          <w:szCs w:val="20"/>
        </w:rPr>
        <w:t>agar</w:t>
      </w:r>
      <w:r w:rsidR="00FF6259" w:rsidRPr="00FA1B69">
        <w:rPr>
          <w:sz w:val="20"/>
          <w:szCs w:val="20"/>
        </w:rPr>
        <w:t xml:space="preserve"> (</w:t>
      </w:r>
      <w:r w:rsidR="00BA6FD5" w:rsidRPr="005B7559">
        <w:rPr>
          <w:sz w:val="16"/>
          <w:szCs w:val="16"/>
        </w:rPr>
        <w:t>1</w:t>
      </w:r>
      <w:r w:rsidR="006354D3">
        <w:rPr>
          <w:sz w:val="16"/>
          <w:szCs w:val="16"/>
        </w:rPr>
        <w:t>5</w:t>
      </w:r>
      <w:r w:rsidR="00FF6259" w:rsidRPr="00FA1B69">
        <w:rPr>
          <w:i/>
          <w:iCs/>
          <w:sz w:val="20"/>
          <w:szCs w:val="20"/>
        </w:rPr>
        <w:t>)</w:t>
      </w:r>
      <w:r w:rsidR="0043193F" w:rsidRPr="00FA1B69">
        <w:rPr>
          <w:sz w:val="20"/>
          <w:szCs w:val="20"/>
        </w:rPr>
        <w:t>.</w:t>
      </w:r>
      <w:r w:rsidR="00041829" w:rsidRPr="00FA1B69">
        <w:rPr>
          <w:sz w:val="20"/>
          <w:szCs w:val="20"/>
        </w:rPr>
        <w:t xml:space="preserve"> Detta f</w:t>
      </w:r>
      <w:r w:rsidR="00BF27C7" w:rsidRPr="00FA1B69">
        <w:rPr>
          <w:sz w:val="20"/>
          <w:szCs w:val="20"/>
        </w:rPr>
        <w:t xml:space="preserve">örklaras sannolikt av </w:t>
      </w:r>
      <w:proofErr w:type="spellStart"/>
      <w:r w:rsidR="00BF27C7" w:rsidRPr="00FA1B69">
        <w:rPr>
          <w:sz w:val="20"/>
          <w:szCs w:val="20"/>
        </w:rPr>
        <w:t>reboundfenomen</w:t>
      </w:r>
      <w:proofErr w:type="spellEnd"/>
      <w:r w:rsidR="00BF27C7" w:rsidRPr="00FA1B69">
        <w:rPr>
          <w:sz w:val="20"/>
          <w:szCs w:val="20"/>
        </w:rPr>
        <w:t xml:space="preserve"> där </w:t>
      </w:r>
      <w:proofErr w:type="spellStart"/>
      <w:r w:rsidR="00BF27C7" w:rsidRPr="00FA1B69">
        <w:rPr>
          <w:sz w:val="20"/>
          <w:szCs w:val="20"/>
        </w:rPr>
        <w:t>protromb</w:t>
      </w:r>
      <w:r w:rsidR="00041829" w:rsidRPr="00FA1B69">
        <w:rPr>
          <w:sz w:val="20"/>
          <w:szCs w:val="20"/>
        </w:rPr>
        <w:t>iska</w:t>
      </w:r>
      <w:proofErr w:type="spellEnd"/>
      <w:r w:rsidR="00041829" w:rsidRPr="00FA1B69">
        <w:rPr>
          <w:sz w:val="20"/>
          <w:szCs w:val="20"/>
        </w:rPr>
        <w:t xml:space="preserve"> mekanismer</w:t>
      </w:r>
      <w:r w:rsidR="00BF27C7" w:rsidRPr="00FA1B69">
        <w:rPr>
          <w:sz w:val="20"/>
          <w:szCs w:val="20"/>
        </w:rPr>
        <w:t xml:space="preserve"> (</w:t>
      </w:r>
      <w:r w:rsidR="004733E6" w:rsidRPr="00FA1B69">
        <w:rPr>
          <w:sz w:val="20"/>
          <w:szCs w:val="20"/>
        </w:rPr>
        <w:t xml:space="preserve">ökad </w:t>
      </w:r>
      <w:proofErr w:type="spellStart"/>
      <w:r w:rsidR="00BF27C7" w:rsidRPr="00FA1B69">
        <w:rPr>
          <w:sz w:val="20"/>
          <w:szCs w:val="20"/>
        </w:rPr>
        <w:t>tromboxansyntes</w:t>
      </w:r>
      <w:proofErr w:type="spellEnd"/>
      <w:r w:rsidR="00BF27C7" w:rsidRPr="00FA1B69">
        <w:rPr>
          <w:sz w:val="20"/>
          <w:szCs w:val="20"/>
        </w:rPr>
        <w:t>) späder på effekterna av ASA-utsättningen (</w:t>
      </w:r>
      <w:r w:rsidR="00BA6FD5" w:rsidRPr="005B7559">
        <w:rPr>
          <w:sz w:val="16"/>
          <w:szCs w:val="16"/>
        </w:rPr>
        <w:t>1</w:t>
      </w:r>
      <w:r w:rsidR="006354D3">
        <w:rPr>
          <w:sz w:val="16"/>
          <w:szCs w:val="16"/>
        </w:rPr>
        <w:t>6</w:t>
      </w:r>
      <w:r w:rsidR="00BF27C7" w:rsidRPr="00FA1B69">
        <w:rPr>
          <w:sz w:val="20"/>
          <w:szCs w:val="20"/>
        </w:rPr>
        <w:t>)</w:t>
      </w:r>
      <w:r w:rsidR="006E0942">
        <w:rPr>
          <w:sz w:val="20"/>
          <w:szCs w:val="20"/>
        </w:rPr>
        <w:t>. P</w:t>
      </w:r>
      <w:r w:rsidR="004733E6" w:rsidRPr="00FA1B69">
        <w:rPr>
          <w:sz w:val="20"/>
          <w:szCs w:val="20"/>
        </w:rPr>
        <w:t xml:space="preserve">atienter med </w:t>
      </w:r>
      <w:proofErr w:type="spellStart"/>
      <w:r w:rsidR="006E0942">
        <w:rPr>
          <w:sz w:val="20"/>
          <w:szCs w:val="20"/>
        </w:rPr>
        <w:t>antifosfolipidsyndrom</w:t>
      </w:r>
      <w:proofErr w:type="spellEnd"/>
      <w:r w:rsidR="006E0942">
        <w:rPr>
          <w:sz w:val="20"/>
          <w:szCs w:val="20"/>
        </w:rPr>
        <w:t>, klaffopererade</w:t>
      </w:r>
      <w:r w:rsidR="006E0942" w:rsidRPr="00334A70">
        <w:rPr>
          <w:sz w:val="20"/>
          <w:szCs w:val="20"/>
        </w:rPr>
        <w:t>,</w:t>
      </w:r>
      <w:r w:rsidR="00297132" w:rsidRPr="00334A70">
        <w:rPr>
          <w:sz w:val="20"/>
          <w:szCs w:val="20"/>
        </w:rPr>
        <w:t xml:space="preserve"> </w:t>
      </w:r>
      <w:r w:rsidR="00334A70">
        <w:rPr>
          <w:sz w:val="20"/>
          <w:szCs w:val="20"/>
        </w:rPr>
        <w:t xml:space="preserve">de med </w:t>
      </w:r>
      <w:r w:rsidR="00297132" w:rsidRPr="00334A70">
        <w:rPr>
          <w:sz w:val="20"/>
          <w:szCs w:val="20"/>
        </w:rPr>
        <w:t>förekomst av stent</w:t>
      </w:r>
      <w:r w:rsidR="00334A70">
        <w:rPr>
          <w:sz w:val="20"/>
          <w:szCs w:val="20"/>
        </w:rPr>
        <w:t xml:space="preserve"> eller</w:t>
      </w:r>
      <w:r w:rsidR="00297132" w:rsidRPr="00334A70">
        <w:rPr>
          <w:sz w:val="20"/>
          <w:szCs w:val="20"/>
        </w:rPr>
        <w:t xml:space="preserve"> nyligen kardiovaskulär händelse som</w:t>
      </w:r>
      <w:r w:rsidR="006E0942">
        <w:rPr>
          <w:sz w:val="20"/>
          <w:szCs w:val="20"/>
        </w:rPr>
        <w:t xml:space="preserve"> tidigare stroke eller </w:t>
      </w:r>
      <w:proofErr w:type="spellStart"/>
      <w:r w:rsidR="006E0942">
        <w:rPr>
          <w:sz w:val="20"/>
          <w:szCs w:val="20"/>
        </w:rPr>
        <w:t>koronarsjukdom</w:t>
      </w:r>
      <w:proofErr w:type="spellEnd"/>
      <w:r w:rsidR="006E0942">
        <w:rPr>
          <w:sz w:val="20"/>
          <w:szCs w:val="20"/>
        </w:rPr>
        <w:t xml:space="preserve"> har särskild hög risk </w:t>
      </w:r>
      <w:r w:rsidR="004733E6" w:rsidRPr="00FA1B69">
        <w:rPr>
          <w:sz w:val="20"/>
          <w:szCs w:val="20"/>
        </w:rPr>
        <w:t>för genombrottstrombos.</w:t>
      </w:r>
      <w:r w:rsidR="00297132" w:rsidRPr="00262B49">
        <w:rPr>
          <w:sz w:val="20"/>
          <w:szCs w:val="20"/>
          <w:highlight w:val="lightGray"/>
        </w:rPr>
        <w:t xml:space="preserve"> </w:t>
      </w:r>
    </w:p>
    <w:p w14:paraId="7921F24A" w14:textId="188DB3FB" w:rsidR="00BA6FD5" w:rsidRPr="00FA1B69" w:rsidRDefault="00BA6FD5" w:rsidP="00A66AC8">
      <w:pPr>
        <w:rPr>
          <w:sz w:val="20"/>
          <w:szCs w:val="20"/>
        </w:rPr>
      </w:pPr>
      <w:r w:rsidRPr="00FA1B69">
        <w:rPr>
          <w:sz w:val="20"/>
          <w:szCs w:val="20"/>
        </w:rPr>
        <w:t xml:space="preserve">Australiensiska </w:t>
      </w:r>
      <w:proofErr w:type="spellStart"/>
      <w:r w:rsidRPr="00FA1B69">
        <w:rPr>
          <w:sz w:val="20"/>
          <w:szCs w:val="20"/>
        </w:rPr>
        <w:t>guidelines</w:t>
      </w:r>
      <w:proofErr w:type="spellEnd"/>
      <w:r w:rsidRPr="00FA1B69">
        <w:rPr>
          <w:sz w:val="20"/>
          <w:szCs w:val="20"/>
        </w:rPr>
        <w:t xml:space="preserve"> från 2019 rekommenderar uppehåll med ASA minst 3 dagar före biopsi hos kardiovaskulära lågriskpatienter</w:t>
      </w:r>
      <w:r w:rsidR="004D453A">
        <w:rPr>
          <w:sz w:val="20"/>
          <w:szCs w:val="20"/>
        </w:rPr>
        <w:t>,</w:t>
      </w:r>
      <w:r w:rsidRPr="00FA1B69">
        <w:rPr>
          <w:sz w:val="20"/>
          <w:szCs w:val="20"/>
        </w:rPr>
        <w:t xml:space="preserve"> men att fortsätta med ASA hos </w:t>
      </w:r>
      <w:r w:rsidR="008C6C73">
        <w:rPr>
          <w:sz w:val="20"/>
          <w:szCs w:val="20"/>
        </w:rPr>
        <w:t>ovan</w:t>
      </w:r>
      <w:r w:rsidR="008C6C73" w:rsidRPr="00FA1B69">
        <w:rPr>
          <w:sz w:val="20"/>
          <w:szCs w:val="20"/>
        </w:rPr>
        <w:t xml:space="preserve"> </w:t>
      </w:r>
      <w:r w:rsidRPr="00FA1B69">
        <w:rPr>
          <w:sz w:val="20"/>
          <w:szCs w:val="20"/>
        </w:rPr>
        <w:t>nämnda patientgrupp</w:t>
      </w:r>
      <w:r w:rsidR="003D081B">
        <w:rPr>
          <w:sz w:val="20"/>
          <w:szCs w:val="20"/>
        </w:rPr>
        <w:t>er</w:t>
      </w:r>
      <w:r w:rsidRPr="00FA1B69">
        <w:rPr>
          <w:sz w:val="20"/>
          <w:szCs w:val="20"/>
        </w:rPr>
        <w:t xml:space="preserve"> med hög risk för kardiovaskulära incidenter </w:t>
      </w:r>
      <w:r>
        <w:rPr>
          <w:sz w:val="20"/>
          <w:szCs w:val="20"/>
        </w:rPr>
        <w:t xml:space="preserve">eller </w:t>
      </w:r>
      <w:proofErr w:type="spellStart"/>
      <w:r w:rsidRPr="00FA1B69">
        <w:rPr>
          <w:sz w:val="20"/>
          <w:szCs w:val="20"/>
        </w:rPr>
        <w:t>tromboemboliska</w:t>
      </w:r>
      <w:proofErr w:type="spellEnd"/>
      <w:r w:rsidRPr="00FA1B69">
        <w:rPr>
          <w:sz w:val="20"/>
          <w:szCs w:val="20"/>
        </w:rPr>
        <w:t xml:space="preserve"> komplikationer</w:t>
      </w:r>
      <w:r>
        <w:rPr>
          <w:sz w:val="20"/>
          <w:szCs w:val="20"/>
        </w:rPr>
        <w:t xml:space="preserve"> (</w:t>
      </w:r>
      <w:r w:rsidRPr="00104FF2">
        <w:rPr>
          <w:sz w:val="16"/>
          <w:szCs w:val="16"/>
        </w:rPr>
        <w:t>1</w:t>
      </w:r>
      <w:r w:rsidR="006354D3">
        <w:rPr>
          <w:sz w:val="16"/>
          <w:szCs w:val="16"/>
        </w:rPr>
        <w:t>7</w:t>
      </w:r>
      <w:r>
        <w:rPr>
          <w:sz w:val="20"/>
          <w:szCs w:val="20"/>
        </w:rPr>
        <w:t>)</w:t>
      </w:r>
      <w:r w:rsidRPr="00FA1B69">
        <w:rPr>
          <w:sz w:val="20"/>
          <w:szCs w:val="20"/>
        </w:rPr>
        <w:t xml:space="preserve">. Vid ASA-dos </w:t>
      </w:r>
      <w:r w:rsidRPr="00FA1B69">
        <w:rPr>
          <w:rFonts w:cstheme="minorHAnsi"/>
          <w:sz w:val="20"/>
          <w:szCs w:val="20"/>
        </w:rPr>
        <w:t>≥</w:t>
      </w:r>
      <w:r w:rsidRPr="00FA1B69">
        <w:rPr>
          <w:sz w:val="20"/>
          <w:szCs w:val="20"/>
        </w:rPr>
        <w:t xml:space="preserve"> 325 mg rekommenderas dock dosminskning.</w:t>
      </w:r>
    </w:p>
    <w:p w14:paraId="516721C6" w14:textId="21A9B323" w:rsidR="00297132" w:rsidRPr="00FA1B69" w:rsidRDefault="004D453A" w:rsidP="00A66AC8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F27C7" w:rsidRPr="00FA1B69">
        <w:rPr>
          <w:sz w:val="20"/>
          <w:szCs w:val="20"/>
        </w:rPr>
        <w:t xml:space="preserve">ata </w:t>
      </w:r>
      <w:r w:rsidR="00041829" w:rsidRPr="00FA1B69">
        <w:rPr>
          <w:sz w:val="20"/>
          <w:szCs w:val="20"/>
        </w:rPr>
        <w:t xml:space="preserve">från </w:t>
      </w:r>
      <w:proofErr w:type="spellStart"/>
      <w:r w:rsidR="00BF27C7" w:rsidRPr="00FA1B69">
        <w:rPr>
          <w:sz w:val="20"/>
          <w:szCs w:val="20"/>
        </w:rPr>
        <w:t>ScotRenalBiopsy</w:t>
      </w:r>
      <w:proofErr w:type="spellEnd"/>
      <w:r w:rsidR="00BF27C7" w:rsidRPr="00FA1B69">
        <w:rPr>
          <w:sz w:val="20"/>
          <w:szCs w:val="20"/>
        </w:rPr>
        <w:t xml:space="preserve"> </w:t>
      </w:r>
      <w:proofErr w:type="spellStart"/>
      <w:r w:rsidR="00BF27C7" w:rsidRPr="00FA1B69">
        <w:rPr>
          <w:sz w:val="20"/>
          <w:szCs w:val="20"/>
        </w:rPr>
        <w:t>reg</w:t>
      </w:r>
      <w:r w:rsidR="00041829" w:rsidRPr="00FA1B69">
        <w:rPr>
          <w:sz w:val="20"/>
          <w:szCs w:val="20"/>
        </w:rPr>
        <w:t>istry</w:t>
      </w:r>
      <w:proofErr w:type="spellEnd"/>
      <w:r w:rsidR="00EB3E88" w:rsidRPr="00FA1B69">
        <w:rPr>
          <w:sz w:val="20"/>
          <w:szCs w:val="20"/>
        </w:rPr>
        <w:t xml:space="preserve"> </w:t>
      </w:r>
      <w:r w:rsidR="00BF27C7" w:rsidRPr="00FA1B69">
        <w:rPr>
          <w:sz w:val="20"/>
          <w:szCs w:val="20"/>
        </w:rPr>
        <w:t>visa</w:t>
      </w:r>
      <w:r w:rsidR="00041829" w:rsidRPr="00FA1B69">
        <w:rPr>
          <w:sz w:val="20"/>
          <w:szCs w:val="20"/>
        </w:rPr>
        <w:t>de</w:t>
      </w:r>
      <w:r w:rsidR="00BF27C7" w:rsidRPr="00FA1B69">
        <w:rPr>
          <w:sz w:val="20"/>
          <w:szCs w:val="20"/>
        </w:rPr>
        <w:t xml:space="preserve"> att det är säkert att fortsätta med ASA</w:t>
      </w:r>
      <w:r>
        <w:rPr>
          <w:sz w:val="20"/>
          <w:szCs w:val="20"/>
        </w:rPr>
        <w:t>,</w:t>
      </w:r>
      <w:r w:rsidR="00BF27C7" w:rsidRPr="00FA1B69">
        <w:rPr>
          <w:sz w:val="20"/>
          <w:szCs w:val="20"/>
        </w:rPr>
        <w:t xml:space="preserve"> </w:t>
      </w:r>
      <w:r w:rsidR="00041829" w:rsidRPr="00FA1B69">
        <w:rPr>
          <w:sz w:val="20"/>
          <w:szCs w:val="20"/>
        </w:rPr>
        <w:t xml:space="preserve">varför </w:t>
      </w:r>
      <w:proofErr w:type="spellStart"/>
      <w:r w:rsidR="00041829" w:rsidRPr="00FA1B69">
        <w:rPr>
          <w:sz w:val="20"/>
          <w:szCs w:val="20"/>
        </w:rPr>
        <w:t>skottska</w:t>
      </w:r>
      <w:proofErr w:type="spellEnd"/>
      <w:r w:rsidR="00041829" w:rsidRPr="00FA1B69">
        <w:rPr>
          <w:sz w:val="20"/>
          <w:szCs w:val="20"/>
        </w:rPr>
        <w:t xml:space="preserve"> </w:t>
      </w:r>
      <w:proofErr w:type="spellStart"/>
      <w:r w:rsidR="00041829" w:rsidRPr="00FA1B69">
        <w:rPr>
          <w:sz w:val="20"/>
          <w:szCs w:val="20"/>
        </w:rPr>
        <w:t>guidelines</w:t>
      </w:r>
      <w:proofErr w:type="spellEnd"/>
      <w:r w:rsidR="00041829" w:rsidRPr="00FA1B69">
        <w:rPr>
          <w:sz w:val="20"/>
          <w:szCs w:val="20"/>
        </w:rPr>
        <w:t xml:space="preserve"> numer rekommenderar att patienten kan f</w:t>
      </w:r>
      <w:r w:rsidR="00BF27C7" w:rsidRPr="00FA1B69">
        <w:rPr>
          <w:sz w:val="20"/>
          <w:szCs w:val="20"/>
        </w:rPr>
        <w:t>ortsätt med ASA</w:t>
      </w:r>
      <w:r w:rsidR="008C6C73">
        <w:rPr>
          <w:sz w:val="20"/>
          <w:szCs w:val="20"/>
        </w:rPr>
        <w:t xml:space="preserve"> i normaldos</w:t>
      </w:r>
      <w:r w:rsidR="009F4698" w:rsidRPr="00FA1B69">
        <w:rPr>
          <w:sz w:val="20"/>
          <w:szCs w:val="20"/>
        </w:rPr>
        <w:t xml:space="preserve"> vid njurbiopsi</w:t>
      </w:r>
      <w:r w:rsidR="00BA6FD5">
        <w:rPr>
          <w:sz w:val="20"/>
          <w:szCs w:val="20"/>
        </w:rPr>
        <w:t xml:space="preserve"> </w:t>
      </w:r>
      <w:r w:rsidR="009F4698" w:rsidRPr="00FA1B69">
        <w:rPr>
          <w:sz w:val="20"/>
          <w:szCs w:val="20"/>
        </w:rPr>
        <w:t>(</w:t>
      </w:r>
      <w:r w:rsidR="00BA6FD5" w:rsidRPr="005B7559">
        <w:rPr>
          <w:sz w:val="16"/>
          <w:szCs w:val="16"/>
        </w:rPr>
        <w:t>1</w:t>
      </w:r>
      <w:r w:rsidR="006354D3">
        <w:rPr>
          <w:sz w:val="16"/>
          <w:szCs w:val="16"/>
        </w:rPr>
        <w:t>8</w:t>
      </w:r>
      <w:r w:rsidR="009F4698" w:rsidRPr="00FA1B69">
        <w:rPr>
          <w:sz w:val="20"/>
          <w:szCs w:val="20"/>
        </w:rPr>
        <w:t>)</w:t>
      </w:r>
      <w:r w:rsidR="00BA6FD5">
        <w:rPr>
          <w:sz w:val="20"/>
          <w:szCs w:val="20"/>
        </w:rPr>
        <w:t>.</w:t>
      </w:r>
    </w:p>
    <w:p w14:paraId="1A56793C" w14:textId="3D57DF29" w:rsidR="00482916" w:rsidRPr="00FA1B69" w:rsidRDefault="009F4698" w:rsidP="00727D5E">
      <w:pPr>
        <w:rPr>
          <w:sz w:val="20"/>
          <w:szCs w:val="20"/>
        </w:rPr>
      </w:pPr>
      <w:r w:rsidRPr="00FA1B69">
        <w:rPr>
          <w:sz w:val="20"/>
          <w:szCs w:val="20"/>
        </w:rPr>
        <w:t xml:space="preserve">Vad gäller återinsättning av ASA efter </w:t>
      </w:r>
      <w:r w:rsidR="003D081B">
        <w:rPr>
          <w:sz w:val="20"/>
          <w:szCs w:val="20"/>
        </w:rPr>
        <w:t>njur</w:t>
      </w:r>
      <w:r w:rsidRPr="00FA1B69">
        <w:rPr>
          <w:sz w:val="20"/>
          <w:szCs w:val="20"/>
        </w:rPr>
        <w:t xml:space="preserve">biopsi fanns </w:t>
      </w:r>
      <w:r w:rsidR="00813573" w:rsidRPr="00FA1B69">
        <w:rPr>
          <w:sz w:val="20"/>
          <w:szCs w:val="20"/>
        </w:rPr>
        <w:t>ingen skillnad i blödningsrisk mellan patienter som återinsatts på ASA inom</w:t>
      </w:r>
      <w:r w:rsidR="000472A7" w:rsidRPr="00FA1B69">
        <w:rPr>
          <w:sz w:val="20"/>
          <w:szCs w:val="20"/>
        </w:rPr>
        <w:t xml:space="preserve"> 48 timmar jämfört med efter</w:t>
      </w:r>
      <w:r w:rsidR="00813573" w:rsidRPr="00FA1B69">
        <w:rPr>
          <w:sz w:val="20"/>
          <w:szCs w:val="20"/>
        </w:rPr>
        <w:t xml:space="preserve"> </w:t>
      </w:r>
      <w:proofErr w:type="gramStart"/>
      <w:r w:rsidR="008C6C73">
        <w:rPr>
          <w:sz w:val="20"/>
          <w:szCs w:val="20"/>
        </w:rPr>
        <w:t>72-120</w:t>
      </w:r>
      <w:proofErr w:type="gramEnd"/>
      <w:r w:rsidR="008C6C73">
        <w:rPr>
          <w:sz w:val="20"/>
          <w:szCs w:val="20"/>
        </w:rPr>
        <w:t xml:space="preserve"> timmar</w:t>
      </w:r>
      <w:r w:rsidR="00813573" w:rsidRPr="00FA1B69">
        <w:rPr>
          <w:sz w:val="20"/>
          <w:szCs w:val="20"/>
        </w:rPr>
        <w:t xml:space="preserve"> efter biopsi</w:t>
      </w:r>
      <w:r w:rsidR="00C568F3" w:rsidRPr="00FA1B69">
        <w:rPr>
          <w:sz w:val="20"/>
          <w:szCs w:val="20"/>
        </w:rPr>
        <w:t xml:space="preserve"> </w:t>
      </w:r>
      <w:r w:rsidR="000472A7" w:rsidRPr="00FA1B69">
        <w:rPr>
          <w:sz w:val="20"/>
          <w:szCs w:val="20"/>
        </w:rPr>
        <w:t xml:space="preserve">eller </w:t>
      </w:r>
      <w:r w:rsidR="00C568F3" w:rsidRPr="00FA1B69">
        <w:rPr>
          <w:sz w:val="20"/>
          <w:szCs w:val="20"/>
        </w:rPr>
        <w:t>jämfört med</w:t>
      </w:r>
      <w:r w:rsidR="000472A7" w:rsidRPr="00FA1B69">
        <w:rPr>
          <w:sz w:val="20"/>
          <w:szCs w:val="20"/>
        </w:rPr>
        <w:t xml:space="preserve"> patienter utan ASA</w:t>
      </w:r>
      <w:r w:rsidRPr="00FA1B69">
        <w:rPr>
          <w:sz w:val="20"/>
          <w:szCs w:val="20"/>
        </w:rPr>
        <w:t xml:space="preserve"> (</w:t>
      </w:r>
      <w:r w:rsidR="00BA6FD5" w:rsidRPr="005B7559">
        <w:rPr>
          <w:sz w:val="16"/>
          <w:szCs w:val="16"/>
        </w:rPr>
        <w:t>1</w:t>
      </w:r>
      <w:r w:rsidR="006354D3">
        <w:rPr>
          <w:sz w:val="16"/>
          <w:szCs w:val="16"/>
        </w:rPr>
        <w:t>9</w:t>
      </w:r>
      <w:r w:rsidRPr="005B7559">
        <w:rPr>
          <w:sz w:val="20"/>
          <w:szCs w:val="20"/>
        </w:rPr>
        <w:t>)</w:t>
      </w:r>
      <w:r w:rsidR="00813573" w:rsidRPr="00FA1B69">
        <w:rPr>
          <w:sz w:val="20"/>
          <w:szCs w:val="20"/>
        </w:rPr>
        <w:t>.</w:t>
      </w:r>
    </w:p>
    <w:p w14:paraId="589342B5" w14:textId="6416B166" w:rsidR="00547EA8" w:rsidRDefault="005765A8" w:rsidP="00547EA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</w:t>
      </w:r>
      <w:r w:rsidR="00D85AF9" w:rsidRPr="00FA1B69">
        <w:rPr>
          <w:sz w:val="20"/>
          <w:szCs w:val="20"/>
        </w:rPr>
        <w:t>lopidogrelbehandlade</w:t>
      </w:r>
      <w:proofErr w:type="spellEnd"/>
      <w:r w:rsidR="00D85AF9" w:rsidRPr="00FA1B69">
        <w:rPr>
          <w:sz w:val="20"/>
          <w:szCs w:val="20"/>
        </w:rPr>
        <w:t xml:space="preserve"> patienters blödningsrisk vid diverse biopsier, varav </w:t>
      </w:r>
      <w:r w:rsidR="00547EA8" w:rsidRPr="00FA1B69">
        <w:rPr>
          <w:sz w:val="20"/>
          <w:szCs w:val="20"/>
        </w:rPr>
        <w:t>17% var njurbiopsier</w:t>
      </w:r>
      <w:r w:rsidR="00D85AF9" w:rsidRPr="00FA1B69">
        <w:rPr>
          <w:sz w:val="20"/>
          <w:szCs w:val="20"/>
        </w:rPr>
        <w:t xml:space="preserve">, </w:t>
      </w:r>
      <w:r w:rsidR="00547EA8" w:rsidRPr="00FA1B69">
        <w:rPr>
          <w:sz w:val="20"/>
          <w:szCs w:val="20"/>
        </w:rPr>
        <w:t>där patienterna hade tagit senaste dosen inom de senaste 5 d</w:t>
      </w:r>
      <w:r w:rsidR="00D85AF9" w:rsidRPr="00FA1B69">
        <w:rPr>
          <w:sz w:val="20"/>
          <w:szCs w:val="20"/>
        </w:rPr>
        <w:t>ygnen</w:t>
      </w:r>
      <w:r w:rsidR="00547EA8" w:rsidRPr="00FA1B69">
        <w:rPr>
          <w:sz w:val="20"/>
          <w:szCs w:val="20"/>
        </w:rPr>
        <w:t xml:space="preserve"> (median </w:t>
      </w:r>
      <w:r w:rsidR="008C6C73">
        <w:rPr>
          <w:sz w:val="20"/>
          <w:szCs w:val="20"/>
        </w:rPr>
        <w:t xml:space="preserve">var </w:t>
      </w:r>
      <w:r w:rsidR="00547EA8" w:rsidRPr="00FA1B69">
        <w:rPr>
          <w:sz w:val="20"/>
          <w:szCs w:val="20"/>
        </w:rPr>
        <w:t>3 d</w:t>
      </w:r>
      <w:r w:rsidR="00D85AF9" w:rsidRPr="00FA1B69">
        <w:rPr>
          <w:sz w:val="20"/>
          <w:szCs w:val="20"/>
        </w:rPr>
        <w:t>agar</w:t>
      </w:r>
      <w:r w:rsidR="00547EA8" w:rsidRPr="00FA1B69">
        <w:rPr>
          <w:sz w:val="20"/>
          <w:szCs w:val="20"/>
        </w:rPr>
        <w:t xml:space="preserve"> sedan senaste dos</w:t>
      </w:r>
      <w:r w:rsidR="008C6C73">
        <w:rPr>
          <w:sz w:val="20"/>
          <w:szCs w:val="20"/>
        </w:rPr>
        <w:t xml:space="preserve">) </w:t>
      </w:r>
      <w:r w:rsidR="00D85AF9" w:rsidRPr="00FA1B69">
        <w:rPr>
          <w:sz w:val="20"/>
          <w:szCs w:val="20"/>
        </w:rPr>
        <w:t>kunde konstatera</w:t>
      </w:r>
      <w:r w:rsidR="003D081B">
        <w:rPr>
          <w:sz w:val="20"/>
          <w:szCs w:val="20"/>
        </w:rPr>
        <w:t>s</w:t>
      </w:r>
      <w:r w:rsidR="00D85AF9" w:rsidRPr="00FA1B69">
        <w:rPr>
          <w:sz w:val="20"/>
          <w:szCs w:val="20"/>
        </w:rPr>
        <w:t xml:space="preserve"> </w:t>
      </w:r>
      <w:r w:rsidR="00547EA8" w:rsidRPr="00FA1B69">
        <w:rPr>
          <w:sz w:val="20"/>
          <w:szCs w:val="20"/>
        </w:rPr>
        <w:t>var</w:t>
      </w:r>
      <w:r w:rsidR="003D081B">
        <w:rPr>
          <w:sz w:val="20"/>
          <w:szCs w:val="20"/>
        </w:rPr>
        <w:t>a</w:t>
      </w:r>
      <w:r w:rsidR="00547EA8" w:rsidRPr="00FA1B69">
        <w:rPr>
          <w:sz w:val="20"/>
          <w:szCs w:val="20"/>
        </w:rPr>
        <w:t xml:space="preserve"> låg till m</w:t>
      </w:r>
      <w:r w:rsidR="00D85AF9" w:rsidRPr="00FA1B69">
        <w:rPr>
          <w:sz w:val="20"/>
          <w:szCs w:val="20"/>
        </w:rPr>
        <w:t>ycket</w:t>
      </w:r>
      <w:r w:rsidR="00547EA8" w:rsidRPr="00FA1B69">
        <w:rPr>
          <w:sz w:val="20"/>
          <w:szCs w:val="20"/>
        </w:rPr>
        <w:t xml:space="preserve"> låg och det var fler minor än major</w:t>
      </w:r>
      <w:r w:rsidR="004733E6" w:rsidRPr="00FA1B69">
        <w:rPr>
          <w:sz w:val="20"/>
          <w:szCs w:val="20"/>
        </w:rPr>
        <w:t>-</w:t>
      </w:r>
      <w:r w:rsidR="00547EA8" w:rsidRPr="00FA1B69">
        <w:rPr>
          <w:sz w:val="20"/>
          <w:szCs w:val="20"/>
        </w:rPr>
        <w:t>komplikationer</w:t>
      </w:r>
      <w:r w:rsidR="009F4698" w:rsidRPr="00FA1B69">
        <w:rPr>
          <w:sz w:val="20"/>
          <w:szCs w:val="20"/>
        </w:rPr>
        <w:t xml:space="preserve"> (</w:t>
      </w:r>
      <w:r w:rsidR="006354D3">
        <w:rPr>
          <w:sz w:val="16"/>
          <w:szCs w:val="16"/>
        </w:rPr>
        <w:t>20</w:t>
      </w:r>
      <w:r w:rsidR="009F4698" w:rsidRPr="00DC2E77">
        <w:rPr>
          <w:sz w:val="20"/>
          <w:szCs w:val="20"/>
        </w:rPr>
        <w:t>)</w:t>
      </w:r>
      <w:r w:rsidR="00547EA8" w:rsidRPr="00FA1B69">
        <w:rPr>
          <w:sz w:val="20"/>
          <w:szCs w:val="20"/>
        </w:rPr>
        <w:t>.</w:t>
      </w:r>
    </w:p>
    <w:p w14:paraId="01B4A196" w14:textId="77777777" w:rsidR="00262B49" w:rsidRDefault="00262B49" w:rsidP="00547EA8">
      <w:pPr>
        <w:rPr>
          <w:sz w:val="20"/>
          <w:szCs w:val="20"/>
        </w:rPr>
      </w:pPr>
    </w:p>
    <w:p w14:paraId="5E16BBFE" w14:textId="77777777" w:rsidR="006E6FB0" w:rsidRPr="00262B49" w:rsidRDefault="006E6FB0" w:rsidP="006E6FB0">
      <w:pPr>
        <w:rPr>
          <w:b/>
          <w:bCs/>
          <w:sz w:val="20"/>
          <w:szCs w:val="20"/>
        </w:rPr>
      </w:pPr>
      <w:r w:rsidRPr="00262B49">
        <w:rPr>
          <w:b/>
          <w:bCs/>
          <w:sz w:val="20"/>
          <w:szCs w:val="20"/>
        </w:rPr>
        <w:t>Biopsi av njurtransplantat</w:t>
      </w:r>
    </w:p>
    <w:p w14:paraId="2936F6DC" w14:textId="5B8D9D06" w:rsidR="006E6FB0" w:rsidRPr="00FA1B69" w:rsidRDefault="006E6FB0" w:rsidP="006E6FB0">
      <w:pPr>
        <w:rPr>
          <w:sz w:val="20"/>
          <w:szCs w:val="20"/>
        </w:rPr>
      </w:pPr>
      <w:r w:rsidRPr="00FA1B69">
        <w:rPr>
          <w:sz w:val="20"/>
          <w:szCs w:val="20"/>
        </w:rPr>
        <w:t>Risken är väldigt låg för komplikationer vid protokollbiopsier, även vid pågående ASA-behandling</w:t>
      </w:r>
      <w:r w:rsidRPr="006221E5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BA6FD5" w:rsidRPr="005B7559">
        <w:rPr>
          <w:sz w:val="16"/>
          <w:szCs w:val="16"/>
        </w:rPr>
        <w:t>2</w:t>
      </w:r>
      <w:r w:rsidR="006354D3">
        <w:rPr>
          <w:sz w:val="16"/>
          <w:szCs w:val="16"/>
        </w:rPr>
        <w:t>1</w:t>
      </w:r>
      <w:r w:rsidRPr="005B7559">
        <w:rPr>
          <w:sz w:val="20"/>
          <w:szCs w:val="20"/>
        </w:rPr>
        <w:t>)</w:t>
      </w:r>
      <w:r>
        <w:rPr>
          <w:i/>
          <w:iCs/>
          <w:sz w:val="20"/>
          <w:szCs w:val="20"/>
        </w:rPr>
        <w:t>.</w:t>
      </w:r>
      <w:r w:rsidRPr="00FA1B69">
        <w:rPr>
          <w:sz w:val="20"/>
          <w:szCs w:val="20"/>
        </w:rPr>
        <w:t xml:space="preserve"> Det är sannolikt mindre riskabelt med blödningar från transplantatbiopsier då den anatomiska </w:t>
      </w:r>
      <w:r w:rsidR="003D081B" w:rsidRPr="00FA1B69">
        <w:rPr>
          <w:sz w:val="20"/>
          <w:szCs w:val="20"/>
        </w:rPr>
        <w:t>p</w:t>
      </w:r>
      <w:r w:rsidR="003D081B">
        <w:rPr>
          <w:sz w:val="20"/>
          <w:szCs w:val="20"/>
        </w:rPr>
        <w:t>laceringen i ljumsken</w:t>
      </w:r>
      <w:r w:rsidR="003D081B" w:rsidRPr="00FA1B69">
        <w:rPr>
          <w:sz w:val="20"/>
          <w:szCs w:val="20"/>
        </w:rPr>
        <w:t xml:space="preserve"> </w:t>
      </w:r>
      <w:r w:rsidRPr="00FA1B69">
        <w:rPr>
          <w:sz w:val="20"/>
          <w:szCs w:val="20"/>
        </w:rPr>
        <w:t>lättare medger komprimerbarhet</w:t>
      </w:r>
      <w:r w:rsidR="00BA6FD5">
        <w:rPr>
          <w:sz w:val="20"/>
          <w:szCs w:val="20"/>
        </w:rPr>
        <w:t xml:space="preserve"> (</w:t>
      </w:r>
      <w:r w:rsidR="00BA6FD5" w:rsidRPr="005B7559">
        <w:rPr>
          <w:sz w:val="16"/>
          <w:szCs w:val="16"/>
        </w:rPr>
        <w:t>2</w:t>
      </w:r>
      <w:r w:rsidR="00B911CC">
        <w:rPr>
          <w:sz w:val="16"/>
          <w:szCs w:val="16"/>
        </w:rPr>
        <w:t>2</w:t>
      </w:r>
      <w:r w:rsidR="00BA6FD5">
        <w:rPr>
          <w:sz w:val="20"/>
          <w:szCs w:val="20"/>
        </w:rPr>
        <w:t>)</w:t>
      </w:r>
      <w:r w:rsidRPr="00FA1B69">
        <w:rPr>
          <w:sz w:val="20"/>
          <w:szCs w:val="20"/>
        </w:rPr>
        <w:t xml:space="preserve">. Vid akuta frågeställningar </w:t>
      </w:r>
      <w:r>
        <w:rPr>
          <w:sz w:val="20"/>
          <w:szCs w:val="20"/>
        </w:rPr>
        <w:t>överstiger</w:t>
      </w:r>
      <w:r w:rsidRPr="00FA1B69">
        <w:rPr>
          <w:sz w:val="20"/>
          <w:szCs w:val="20"/>
        </w:rPr>
        <w:t xml:space="preserve"> risken med att fördröja diagnostiken klart blödningsrisken med pågående ASA-behandling (</w:t>
      </w:r>
      <w:r w:rsidR="00BA6FD5" w:rsidRPr="005B7559">
        <w:rPr>
          <w:sz w:val="16"/>
          <w:szCs w:val="16"/>
        </w:rPr>
        <w:t>2</w:t>
      </w:r>
      <w:r w:rsidR="00B911CC">
        <w:rPr>
          <w:sz w:val="16"/>
          <w:szCs w:val="16"/>
        </w:rPr>
        <w:t>3</w:t>
      </w:r>
      <w:r w:rsidRPr="00DC2E77">
        <w:rPr>
          <w:sz w:val="20"/>
          <w:szCs w:val="20"/>
        </w:rPr>
        <w:t>)</w:t>
      </w:r>
      <w:r w:rsidRPr="00FA1B69">
        <w:rPr>
          <w:sz w:val="20"/>
          <w:szCs w:val="20"/>
        </w:rPr>
        <w:t>.</w:t>
      </w:r>
    </w:p>
    <w:p w14:paraId="4104A43D" w14:textId="4A843D84" w:rsidR="006E6FB0" w:rsidRDefault="006E6FB0" w:rsidP="006E6FB0">
      <w:pPr>
        <w:rPr>
          <w:sz w:val="20"/>
          <w:szCs w:val="20"/>
        </w:rPr>
      </w:pPr>
      <w:r w:rsidRPr="00FA1B69">
        <w:rPr>
          <w:sz w:val="20"/>
          <w:szCs w:val="20"/>
        </w:rPr>
        <w:t>Akuta indikationer för transplantatbiopsi (</w:t>
      </w:r>
      <w:proofErr w:type="spellStart"/>
      <w:r w:rsidRPr="00FA1B69">
        <w:rPr>
          <w:sz w:val="20"/>
          <w:szCs w:val="20"/>
        </w:rPr>
        <w:t>rejektionsmisstanke</w:t>
      </w:r>
      <w:proofErr w:type="spellEnd"/>
      <w:r w:rsidRPr="00FA1B69">
        <w:rPr>
          <w:sz w:val="20"/>
          <w:szCs w:val="20"/>
        </w:rPr>
        <w:t>) skall genomföras trots pågående ASA-behandling</w:t>
      </w:r>
      <w:r w:rsidR="00334A70">
        <w:rPr>
          <w:sz w:val="20"/>
          <w:szCs w:val="20"/>
        </w:rPr>
        <w:t>. V</w:t>
      </w:r>
      <w:r w:rsidRPr="00FA1B69">
        <w:rPr>
          <w:sz w:val="20"/>
          <w:szCs w:val="20"/>
        </w:rPr>
        <w:t>id polikliniska subakuta el</w:t>
      </w:r>
      <w:r w:rsidR="00334A70">
        <w:rPr>
          <w:sz w:val="20"/>
          <w:szCs w:val="20"/>
        </w:rPr>
        <w:t>ler</w:t>
      </w:r>
      <w:r w:rsidRPr="00FA1B69">
        <w:rPr>
          <w:sz w:val="20"/>
          <w:szCs w:val="20"/>
        </w:rPr>
        <w:t xml:space="preserve"> protokollbiopsier kan ASA </w:t>
      </w:r>
      <w:proofErr w:type="spellStart"/>
      <w:r w:rsidRPr="00FA1B69">
        <w:rPr>
          <w:sz w:val="20"/>
          <w:szCs w:val="20"/>
        </w:rPr>
        <w:t>seponeras</w:t>
      </w:r>
      <w:proofErr w:type="spellEnd"/>
      <w:r w:rsidRPr="00FA1B69">
        <w:rPr>
          <w:sz w:val="20"/>
          <w:szCs w:val="20"/>
        </w:rPr>
        <w:t xml:space="preserve"> </w:t>
      </w:r>
      <w:proofErr w:type="gramStart"/>
      <w:r w:rsidRPr="00FA1B69">
        <w:rPr>
          <w:sz w:val="20"/>
          <w:szCs w:val="20"/>
        </w:rPr>
        <w:t>3-5</w:t>
      </w:r>
      <w:proofErr w:type="gramEnd"/>
      <w:r w:rsidRPr="00FA1B69">
        <w:rPr>
          <w:sz w:val="20"/>
          <w:szCs w:val="20"/>
        </w:rPr>
        <w:t xml:space="preserve"> dagar före ingreppet om pat</w:t>
      </w:r>
      <w:r w:rsidR="00334A70">
        <w:rPr>
          <w:sz w:val="20"/>
          <w:szCs w:val="20"/>
        </w:rPr>
        <w:t>ienten inte</w:t>
      </w:r>
      <w:r w:rsidRPr="00FA1B69">
        <w:rPr>
          <w:sz w:val="20"/>
          <w:szCs w:val="20"/>
        </w:rPr>
        <w:t xml:space="preserve"> är </w:t>
      </w:r>
      <w:proofErr w:type="spellStart"/>
      <w:r w:rsidRPr="00FA1B69">
        <w:rPr>
          <w:sz w:val="20"/>
          <w:szCs w:val="20"/>
        </w:rPr>
        <w:t>högriskare</w:t>
      </w:r>
      <w:proofErr w:type="spellEnd"/>
      <w:r w:rsidRPr="00FA1B69">
        <w:rPr>
          <w:sz w:val="20"/>
          <w:szCs w:val="20"/>
        </w:rPr>
        <w:t xml:space="preserve"> ur kardiovaskulärt morbiditetsperspektiv. </w:t>
      </w:r>
    </w:p>
    <w:p w14:paraId="56F9999D" w14:textId="77777777" w:rsidR="004D453A" w:rsidRPr="00FA1B69" w:rsidRDefault="004D453A" w:rsidP="004D453A">
      <w:pPr>
        <w:rPr>
          <w:sz w:val="20"/>
          <w:szCs w:val="20"/>
        </w:rPr>
      </w:pPr>
      <w:r w:rsidRPr="00FA1B69">
        <w:rPr>
          <w:sz w:val="20"/>
          <w:szCs w:val="20"/>
        </w:rPr>
        <w:t>Om patienten har</w:t>
      </w:r>
      <w:r>
        <w:rPr>
          <w:sz w:val="20"/>
          <w:szCs w:val="20"/>
        </w:rPr>
        <w:t xml:space="preserve"> behandlats med</w:t>
      </w:r>
      <w:r w:rsidRPr="00FA1B69">
        <w:rPr>
          <w:sz w:val="20"/>
          <w:szCs w:val="20"/>
        </w:rPr>
        <w:t xml:space="preserve"> </w:t>
      </w:r>
      <w:proofErr w:type="spellStart"/>
      <w:r w:rsidRPr="00FA1B69">
        <w:rPr>
          <w:sz w:val="20"/>
          <w:szCs w:val="20"/>
        </w:rPr>
        <w:t>plasmaferes</w:t>
      </w:r>
      <w:proofErr w:type="spellEnd"/>
      <w:r w:rsidRPr="00FA1B69">
        <w:rPr>
          <w:sz w:val="20"/>
          <w:szCs w:val="20"/>
        </w:rPr>
        <w:t xml:space="preserve"> skall det gå minst 24 timmar innan njurbiopsi.</w:t>
      </w:r>
    </w:p>
    <w:p w14:paraId="6A1D81AA" w14:textId="77777777" w:rsidR="006E6FB0" w:rsidRPr="00FA1B69" w:rsidRDefault="006E6FB0" w:rsidP="006E6FB0">
      <w:pPr>
        <w:rPr>
          <w:sz w:val="20"/>
          <w:szCs w:val="20"/>
        </w:rPr>
      </w:pPr>
    </w:p>
    <w:p w14:paraId="090437DE" w14:textId="62004906" w:rsidR="006E6FB0" w:rsidRPr="00FA1B69" w:rsidRDefault="006E6FB0" w:rsidP="006E6FB0">
      <w:pPr>
        <w:rPr>
          <w:sz w:val="20"/>
          <w:szCs w:val="20"/>
        </w:rPr>
      </w:pPr>
      <w:r w:rsidRPr="00FA1B69">
        <w:rPr>
          <w:b/>
          <w:bCs/>
          <w:sz w:val="20"/>
          <w:szCs w:val="20"/>
        </w:rPr>
        <w:t>Njurbiopsi under graviditet</w:t>
      </w:r>
      <w:r w:rsidRPr="00FA1B69">
        <w:rPr>
          <w:sz w:val="20"/>
          <w:szCs w:val="20"/>
        </w:rPr>
        <w:t xml:space="preserve">  </w:t>
      </w:r>
    </w:p>
    <w:p w14:paraId="01E002B7" w14:textId="6E36A64F" w:rsidR="006E6FB0" w:rsidRPr="00FA1B69" w:rsidRDefault="006E6FB0" w:rsidP="006E6FB0">
      <w:pPr>
        <w:rPr>
          <w:sz w:val="20"/>
          <w:szCs w:val="20"/>
        </w:rPr>
      </w:pPr>
      <w:r w:rsidRPr="00FA1B69">
        <w:rPr>
          <w:sz w:val="20"/>
          <w:szCs w:val="20"/>
        </w:rPr>
        <w:t xml:space="preserve">Det sker något fler komplikationer efter njurbiopsi av gravida jämfört med post </w:t>
      </w:r>
      <w:proofErr w:type="spellStart"/>
      <w:r w:rsidRPr="00FA1B69">
        <w:rPr>
          <w:sz w:val="20"/>
          <w:szCs w:val="20"/>
        </w:rPr>
        <w:t>partum</w:t>
      </w:r>
      <w:proofErr w:type="spellEnd"/>
      <w:r w:rsidRPr="00FA1B69">
        <w:rPr>
          <w:sz w:val="20"/>
          <w:szCs w:val="20"/>
        </w:rPr>
        <w:t xml:space="preserve"> (7% vs 1%). </w:t>
      </w:r>
      <w:r w:rsidR="00DC2E77">
        <w:rPr>
          <w:sz w:val="20"/>
          <w:szCs w:val="20"/>
        </w:rPr>
        <w:t>Flest t</w:t>
      </w:r>
      <w:r w:rsidRPr="00FA1B69">
        <w:rPr>
          <w:sz w:val="20"/>
          <w:szCs w:val="20"/>
        </w:rPr>
        <w:t xml:space="preserve">ransfusionskrävande blödningar </w:t>
      </w:r>
      <w:r w:rsidR="00DC2E77">
        <w:rPr>
          <w:sz w:val="20"/>
          <w:szCs w:val="20"/>
        </w:rPr>
        <w:t xml:space="preserve">ses </w:t>
      </w:r>
      <w:r w:rsidRPr="00FA1B69">
        <w:rPr>
          <w:sz w:val="20"/>
          <w:szCs w:val="20"/>
        </w:rPr>
        <w:t xml:space="preserve">mellan </w:t>
      </w:r>
      <w:proofErr w:type="spellStart"/>
      <w:r w:rsidRPr="00FA1B69">
        <w:rPr>
          <w:sz w:val="20"/>
          <w:szCs w:val="20"/>
        </w:rPr>
        <w:t>graviditetesvecka</w:t>
      </w:r>
      <w:proofErr w:type="spellEnd"/>
      <w:r w:rsidRPr="00FA1B69">
        <w:rPr>
          <w:sz w:val="20"/>
          <w:szCs w:val="20"/>
        </w:rPr>
        <w:t xml:space="preserve"> 23 och 26. Före v 20 anses ingreppet vara okomplicerat, medan det bör undvikas efter graviditetsvecka 30</w:t>
      </w:r>
      <w:r w:rsidR="004D453A">
        <w:rPr>
          <w:sz w:val="20"/>
          <w:szCs w:val="20"/>
        </w:rPr>
        <w:t>,</w:t>
      </w:r>
      <w:r w:rsidRPr="00FA1B69">
        <w:rPr>
          <w:sz w:val="20"/>
          <w:szCs w:val="20"/>
        </w:rPr>
        <w:t xml:space="preserve"> om möjligt</w:t>
      </w:r>
      <w:r w:rsidR="00DC2E77">
        <w:rPr>
          <w:sz w:val="20"/>
          <w:szCs w:val="20"/>
        </w:rPr>
        <w:t xml:space="preserve"> </w:t>
      </w:r>
      <w:r w:rsidR="00BA6FD5">
        <w:rPr>
          <w:sz w:val="20"/>
          <w:szCs w:val="20"/>
        </w:rPr>
        <w:t>(</w:t>
      </w:r>
      <w:r w:rsidR="00BA6FD5" w:rsidRPr="005B7559">
        <w:rPr>
          <w:sz w:val="16"/>
          <w:szCs w:val="16"/>
        </w:rPr>
        <w:t>2</w:t>
      </w:r>
      <w:r w:rsidR="00B911CC">
        <w:rPr>
          <w:sz w:val="16"/>
          <w:szCs w:val="16"/>
        </w:rPr>
        <w:t>4</w:t>
      </w:r>
      <w:r w:rsidR="00BA6FD5">
        <w:rPr>
          <w:sz w:val="20"/>
          <w:szCs w:val="20"/>
        </w:rPr>
        <w:t>)</w:t>
      </w:r>
      <w:r w:rsidRPr="00FA1B69">
        <w:rPr>
          <w:sz w:val="20"/>
          <w:szCs w:val="20"/>
        </w:rPr>
        <w:t xml:space="preserve">. </w:t>
      </w:r>
    </w:p>
    <w:p w14:paraId="433F1A42" w14:textId="0BE9F872" w:rsidR="006E6FB0" w:rsidRPr="00FA1B69" w:rsidRDefault="006E6FB0" w:rsidP="006E6FB0">
      <w:pPr>
        <w:rPr>
          <w:sz w:val="20"/>
          <w:szCs w:val="20"/>
        </w:rPr>
      </w:pPr>
      <w:r w:rsidRPr="00FA1B69">
        <w:rPr>
          <w:sz w:val="20"/>
          <w:szCs w:val="20"/>
        </w:rPr>
        <w:t xml:space="preserve">Vid de biopsier som hade indikationen att differentiera mellan preeklampsi och </w:t>
      </w:r>
      <w:proofErr w:type="spellStart"/>
      <w:r w:rsidRPr="00FA1B69">
        <w:rPr>
          <w:sz w:val="20"/>
          <w:szCs w:val="20"/>
        </w:rPr>
        <w:t>glomerulonefrit</w:t>
      </w:r>
      <w:proofErr w:type="spellEnd"/>
      <w:r w:rsidR="004D453A">
        <w:rPr>
          <w:sz w:val="20"/>
          <w:szCs w:val="20"/>
        </w:rPr>
        <w:t xml:space="preserve">, </w:t>
      </w:r>
      <w:r w:rsidRPr="00FA1B69">
        <w:rPr>
          <w:sz w:val="20"/>
          <w:szCs w:val="20"/>
        </w:rPr>
        <w:t xml:space="preserve">ledde 66% av </w:t>
      </w:r>
      <w:r w:rsidR="003D081B">
        <w:rPr>
          <w:sz w:val="20"/>
          <w:szCs w:val="20"/>
        </w:rPr>
        <w:t>de utförda biopsierna</w:t>
      </w:r>
      <w:r w:rsidR="003D081B" w:rsidRPr="00FA1B69">
        <w:rPr>
          <w:sz w:val="20"/>
          <w:szCs w:val="20"/>
        </w:rPr>
        <w:t xml:space="preserve"> </w:t>
      </w:r>
      <w:r w:rsidRPr="00FA1B69">
        <w:rPr>
          <w:sz w:val="20"/>
          <w:szCs w:val="20"/>
        </w:rPr>
        <w:t xml:space="preserve">till ändrad behandling. </w:t>
      </w:r>
      <w:r w:rsidR="00BD5AAA">
        <w:rPr>
          <w:sz w:val="20"/>
          <w:szCs w:val="20"/>
        </w:rPr>
        <w:t>I en annan studie från 2023 ledde</w:t>
      </w:r>
      <w:r w:rsidR="00DC2E77">
        <w:rPr>
          <w:sz w:val="20"/>
          <w:szCs w:val="20"/>
        </w:rPr>
        <w:t xml:space="preserve"> hela</w:t>
      </w:r>
      <w:r w:rsidR="00BD5AAA">
        <w:rPr>
          <w:sz w:val="20"/>
          <w:szCs w:val="20"/>
        </w:rPr>
        <w:t xml:space="preserve"> 73% av biopsifallen till terapeutiska åtgärder </w:t>
      </w:r>
      <w:r w:rsidR="00BA6FD5">
        <w:rPr>
          <w:sz w:val="20"/>
          <w:szCs w:val="20"/>
        </w:rPr>
        <w:t>(</w:t>
      </w:r>
      <w:r w:rsidR="00BA6FD5" w:rsidRPr="005B7559">
        <w:rPr>
          <w:sz w:val="16"/>
          <w:szCs w:val="16"/>
        </w:rPr>
        <w:t>2</w:t>
      </w:r>
      <w:r w:rsidR="00B911CC">
        <w:rPr>
          <w:sz w:val="16"/>
          <w:szCs w:val="16"/>
        </w:rPr>
        <w:t>5</w:t>
      </w:r>
      <w:r w:rsidR="00BA6FD5">
        <w:rPr>
          <w:sz w:val="20"/>
          <w:szCs w:val="20"/>
        </w:rPr>
        <w:t>)</w:t>
      </w:r>
      <w:r w:rsidRPr="00FA1B69">
        <w:rPr>
          <w:sz w:val="20"/>
          <w:szCs w:val="20"/>
        </w:rPr>
        <w:t>. Biopsi av njurtransplantat hos gravida är mindre riskabelt</w:t>
      </w:r>
      <w:r w:rsidR="00DC2E77">
        <w:rPr>
          <w:sz w:val="20"/>
          <w:szCs w:val="20"/>
        </w:rPr>
        <w:t xml:space="preserve"> än biopsi av nativa njurar</w:t>
      </w:r>
      <w:r w:rsidR="00BD5AAA">
        <w:rPr>
          <w:sz w:val="20"/>
          <w:szCs w:val="20"/>
        </w:rPr>
        <w:t>,</w:t>
      </w:r>
      <w:r w:rsidRPr="00FA1B69">
        <w:rPr>
          <w:sz w:val="20"/>
          <w:szCs w:val="20"/>
        </w:rPr>
        <w:t xml:space="preserve"> särskilt om det sker före vecka 20</w:t>
      </w:r>
      <w:r w:rsidR="00BD5AAA">
        <w:rPr>
          <w:sz w:val="20"/>
          <w:szCs w:val="20"/>
        </w:rPr>
        <w:t>,</w:t>
      </w:r>
      <w:r w:rsidRPr="00FA1B69">
        <w:rPr>
          <w:sz w:val="20"/>
          <w:szCs w:val="20"/>
        </w:rPr>
        <w:t xml:space="preserve"> men </w:t>
      </w:r>
      <w:r w:rsidR="003D081B">
        <w:rPr>
          <w:sz w:val="20"/>
          <w:szCs w:val="20"/>
        </w:rPr>
        <w:t>eventuell transplantat</w:t>
      </w:r>
      <w:r w:rsidRPr="00FA1B69">
        <w:rPr>
          <w:sz w:val="20"/>
          <w:szCs w:val="20"/>
        </w:rPr>
        <w:t>hydronefros bör uteslutas och avlastas först.</w:t>
      </w:r>
    </w:p>
    <w:p w14:paraId="6F42F943" w14:textId="77777777" w:rsidR="00D85AF9" w:rsidRPr="00FA1B69" w:rsidRDefault="00D85AF9" w:rsidP="00547EA8">
      <w:pPr>
        <w:rPr>
          <w:sz w:val="20"/>
          <w:szCs w:val="20"/>
        </w:rPr>
      </w:pPr>
    </w:p>
    <w:p w14:paraId="2796DAC6" w14:textId="19450F55" w:rsidR="001C06C5" w:rsidRPr="00262B49" w:rsidRDefault="001C06C5" w:rsidP="001C06C5">
      <w:pPr>
        <w:rPr>
          <w:b/>
          <w:bCs/>
          <w:sz w:val="18"/>
          <w:szCs w:val="18"/>
        </w:rPr>
      </w:pPr>
      <w:r w:rsidRPr="00262B49">
        <w:rPr>
          <w:rFonts w:eastAsia="Times New Roman"/>
          <w:b/>
          <w:bCs/>
          <w:sz w:val="20"/>
          <w:szCs w:val="20"/>
        </w:rPr>
        <w:t xml:space="preserve">Användning av </w:t>
      </w:r>
      <w:proofErr w:type="spellStart"/>
      <w:r w:rsidR="00D85AF9" w:rsidRPr="00262B49">
        <w:rPr>
          <w:rFonts w:eastAsia="Times New Roman"/>
          <w:b/>
          <w:bCs/>
          <w:sz w:val="20"/>
          <w:szCs w:val="20"/>
        </w:rPr>
        <w:t>desmo</w:t>
      </w:r>
      <w:r w:rsidRPr="00262B49">
        <w:rPr>
          <w:rFonts w:eastAsia="Times New Roman"/>
          <w:b/>
          <w:bCs/>
          <w:sz w:val="20"/>
          <w:szCs w:val="20"/>
        </w:rPr>
        <w:t>pressin</w:t>
      </w:r>
      <w:proofErr w:type="spellEnd"/>
      <w:r w:rsidRPr="00262B49">
        <w:rPr>
          <w:rFonts w:eastAsia="Times New Roman"/>
          <w:b/>
          <w:bCs/>
          <w:sz w:val="20"/>
          <w:szCs w:val="20"/>
        </w:rPr>
        <w:t xml:space="preserve"> vid </w:t>
      </w:r>
      <w:r w:rsidR="00F814B7" w:rsidRPr="00262B49">
        <w:rPr>
          <w:rFonts w:eastAsia="Times New Roman"/>
          <w:b/>
          <w:bCs/>
          <w:sz w:val="20"/>
          <w:szCs w:val="20"/>
        </w:rPr>
        <w:t>njurbiopsi</w:t>
      </w:r>
    </w:p>
    <w:p w14:paraId="02C43D4A" w14:textId="22430573" w:rsidR="00DC4676" w:rsidRPr="00FA1B69" w:rsidRDefault="00D85AF9" w:rsidP="00AC2B61">
      <w:pPr>
        <w:rPr>
          <w:rFonts w:cstheme="minorHAnsi"/>
          <w:sz w:val="20"/>
          <w:szCs w:val="20"/>
        </w:rPr>
      </w:pPr>
      <w:proofErr w:type="spellStart"/>
      <w:r w:rsidRPr="00FA1B69">
        <w:rPr>
          <w:sz w:val="20"/>
          <w:szCs w:val="20"/>
        </w:rPr>
        <w:t>Desmopressin</w:t>
      </w:r>
      <w:proofErr w:type="spellEnd"/>
      <w:r w:rsidRPr="00FA1B69">
        <w:rPr>
          <w:sz w:val="20"/>
          <w:szCs w:val="20"/>
        </w:rPr>
        <w:t xml:space="preserve"> (</w:t>
      </w:r>
      <w:proofErr w:type="spellStart"/>
      <w:r w:rsidRPr="00FA1B69">
        <w:rPr>
          <w:sz w:val="20"/>
          <w:szCs w:val="20"/>
        </w:rPr>
        <w:t>Octostim</w:t>
      </w:r>
      <w:proofErr w:type="spellEnd"/>
      <w:r w:rsidR="00AC2B61" w:rsidRPr="00FA1B69">
        <w:rPr>
          <w:rFonts w:cstheme="minorHAnsi"/>
          <w:sz w:val="20"/>
          <w:szCs w:val="20"/>
        </w:rPr>
        <w:t xml:space="preserve">®) </w:t>
      </w:r>
      <w:r w:rsidR="003D081B">
        <w:rPr>
          <w:rFonts w:cstheme="minorHAnsi"/>
          <w:sz w:val="20"/>
          <w:szCs w:val="20"/>
        </w:rPr>
        <w:t xml:space="preserve">är </w:t>
      </w:r>
      <w:r w:rsidR="00AC2B61" w:rsidRPr="00FA1B69">
        <w:rPr>
          <w:rFonts w:cstheme="minorHAnsi"/>
          <w:sz w:val="20"/>
          <w:szCs w:val="20"/>
        </w:rPr>
        <w:t xml:space="preserve">en faktor VIII och VWF-frisättare </w:t>
      </w:r>
      <w:r w:rsidR="003D081B">
        <w:rPr>
          <w:rFonts w:cstheme="minorHAnsi"/>
          <w:sz w:val="20"/>
          <w:szCs w:val="20"/>
        </w:rPr>
        <w:t xml:space="preserve">som </w:t>
      </w:r>
      <w:r w:rsidR="00AC2B61" w:rsidRPr="00FA1B69">
        <w:rPr>
          <w:rFonts w:cstheme="minorHAnsi"/>
          <w:sz w:val="20"/>
          <w:szCs w:val="20"/>
        </w:rPr>
        <w:t xml:space="preserve">har använts profylaktiskt omedelbart före </w:t>
      </w:r>
      <w:proofErr w:type="spellStart"/>
      <w:r w:rsidR="00AC2B61" w:rsidRPr="00FA1B69">
        <w:rPr>
          <w:rFonts w:cstheme="minorHAnsi"/>
          <w:sz w:val="20"/>
          <w:szCs w:val="20"/>
        </w:rPr>
        <w:t>invasiva</w:t>
      </w:r>
      <w:proofErr w:type="spellEnd"/>
      <w:r w:rsidR="00AC2B61" w:rsidRPr="00FA1B69">
        <w:rPr>
          <w:rFonts w:cstheme="minorHAnsi"/>
          <w:sz w:val="20"/>
          <w:szCs w:val="20"/>
        </w:rPr>
        <w:t xml:space="preserve"> ingrepp hos blödningsbenägna patienter i många år. Studier om dess effektivitet som blödningsförebyggande åtgärd vid njurbiopsier har </w:t>
      </w:r>
      <w:r w:rsidR="00226A6B" w:rsidRPr="00FA1B69">
        <w:rPr>
          <w:rFonts w:cstheme="minorHAnsi"/>
          <w:sz w:val="20"/>
          <w:szCs w:val="20"/>
        </w:rPr>
        <w:t xml:space="preserve">dock </w:t>
      </w:r>
      <w:r w:rsidR="00AC2B61" w:rsidRPr="00FA1B69">
        <w:rPr>
          <w:rFonts w:cstheme="minorHAnsi"/>
          <w:sz w:val="20"/>
          <w:szCs w:val="20"/>
        </w:rPr>
        <w:t xml:space="preserve">visat högst </w:t>
      </w:r>
      <w:r w:rsidR="00031638">
        <w:rPr>
          <w:rFonts w:cstheme="minorHAnsi"/>
          <w:sz w:val="20"/>
          <w:szCs w:val="20"/>
        </w:rPr>
        <w:t>varierande</w:t>
      </w:r>
      <w:r w:rsidR="00031638" w:rsidRPr="00FA1B69">
        <w:rPr>
          <w:rFonts w:cstheme="minorHAnsi"/>
          <w:sz w:val="20"/>
          <w:szCs w:val="20"/>
        </w:rPr>
        <w:t xml:space="preserve"> </w:t>
      </w:r>
      <w:r w:rsidR="00AC2B61" w:rsidRPr="00FA1B69">
        <w:rPr>
          <w:rFonts w:cstheme="minorHAnsi"/>
          <w:sz w:val="20"/>
          <w:szCs w:val="20"/>
        </w:rPr>
        <w:t>resultat (</w:t>
      </w:r>
      <w:proofErr w:type="gramStart"/>
      <w:r w:rsidR="005B7559" w:rsidRPr="005B7559">
        <w:rPr>
          <w:rFonts w:cstheme="minorHAnsi"/>
          <w:sz w:val="16"/>
          <w:szCs w:val="16"/>
        </w:rPr>
        <w:t>2</w:t>
      </w:r>
      <w:r w:rsidR="00B911CC">
        <w:rPr>
          <w:rFonts w:cstheme="minorHAnsi"/>
          <w:sz w:val="16"/>
          <w:szCs w:val="16"/>
        </w:rPr>
        <w:t>6</w:t>
      </w:r>
      <w:r w:rsidR="005B7559" w:rsidRPr="005B7559">
        <w:rPr>
          <w:rFonts w:cstheme="minorHAnsi"/>
          <w:sz w:val="16"/>
          <w:szCs w:val="16"/>
        </w:rPr>
        <w:t>-2</w:t>
      </w:r>
      <w:r w:rsidR="00B911CC">
        <w:rPr>
          <w:rFonts w:cstheme="minorHAnsi"/>
          <w:sz w:val="16"/>
          <w:szCs w:val="16"/>
        </w:rPr>
        <w:t>8</w:t>
      </w:r>
      <w:proofErr w:type="gramEnd"/>
      <w:r w:rsidR="00AC2B61" w:rsidRPr="00FA1B69">
        <w:rPr>
          <w:rFonts w:cstheme="minorHAnsi"/>
          <w:sz w:val="20"/>
          <w:szCs w:val="20"/>
        </w:rPr>
        <w:t>)</w:t>
      </w:r>
      <w:r w:rsidR="007549CE" w:rsidRPr="00FA1B69">
        <w:rPr>
          <w:rFonts w:cstheme="minorHAnsi"/>
          <w:sz w:val="20"/>
          <w:szCs w:val="20"/>
        </w:rPr>
        <w:t xml:space="preserve"> varför </w:t>
      </w:r>
      <w:r w:rsidR="003D081B">
        <w:rPr>
          <w:rFonts w:cstheme="minorHAnsi"/>
          <w:sz w:val="20"/>
          <w:szCs w:val="20"/>
        </w:rPr>
        <w:t>nyttan</w:t>
      </w:r>
      <w:r w:rsidR="007549CE" w:rsidRPr="00FA1B69">
        <w:rPr>
          <w:rFonts w:cstheme="minorHAnsi"/>
          <w:sz w:val="20"/>
          <w:szCs w:val="20"/>
        </w:rPr>
        <w:t xml:space="preserve"> är omdebatterad.</w:t>
      </w:r>
    </w:p>
    <w:p w14:paraId="01FDE675" w14:textId="1FB505BF" w:rsidR="00A90832" w:rsidRPr="00FA1B69" w:rsidRDefault="00D05B8B" w:rsidP="00AC2B61">
      <w:pPr>
        <w:rPr>
          <w:sz w:val="20"/>
          <w:szCs w:val="20"/>
        </w:rPr>
      </w:pPr>
      <w:r w:rsidRPr="00FA1B69">
        <w:rPr>
          <w:sz w:val="20"/>
          <w:szCs w:val="20"/>
        </w:rPr>
        <w:lastRenderedPageBreak/>
        <w:t xml:space="preserve">I </w:t>
      </w:r>
      <w:r w:rsidR="00D02517" w:rsidRPr="00FA1B69">
        <w:rPr>
          <w:sz w:val="20"/>
          <w:szCs w:val="20"/>
        </w:rPr>
        <w:t xml:space="preserve">den enda hitintills </w:t>
      </w:r>
      <w:r w:rsidRPr="00FA1B69">
        <w:rPr>
          <w:sz w:val="20"/>
          <w:szCs w:val="20"/>
        </w:rPr>
        <w:t xml:space="preserve">publicerade </w:t>
      </w:r>
      <w:proofErr w:type="spellStart"/>
      <w:r w:rsidR="00D02517" w:rsidRPr="00FA1B69">
        <w:rPr>
          <w:sz w:val="20"/>
          <w:szCs w:val="20"/>
        </w:rPr>
        <w:t>RCT</w:t>
      </w:r>
      <w:r w:rsidR="00223BEA" w:rsidRPr="00FA1B69">
        <w:rPr>
          <w:sz w:val="20"/>
          <w:szCs w:val="20"/>
        </w:rPr>
        <w:t>n</w:t>
      </w:r>
      <w:proofErr w:type="spellEnd"/>
      <w:r w:rsidR="00D02517" w:rsidRPr="00FA1B69">
        <w:rPr>
          <w:sz w:val="20"/>
          <w:szCs w:val="20"/>
        </w:rPr>
        <w:t xml:space="preserve"> avseende </w:t>
      </w:r>
      <w:proofErr w:type="spellStart"/>
      <w:r w:rsidR="00DC4676" w:rsidRPr="00FA1B69">
        <w:rPr>
          <w:sz w:val="20"/>
          <w:szCs w:val="20"/>
        </w:rPr>
        <w:t>d</w:t>
      </w:r>
      <w:r w:rsidR="00D02517" w:rsidRPr="00FA1B69">
        <w:rPr>
          <w:sz w:val="20"/>
          <w:szCs w:val="20"/>
        </w:rPr>
        <w:t>esmopressintillförsel</w:t>
      </w:r>
      <w:proofErr w:type="spellEnd"/>
      <w:r w:rsidR="00D02517" w:rsidRPr="00FA1B69">
        <w:rPr>
          <w:sz w:val="20"/>
          <w:szCs w:val="20"/>
        </w:rPr>
        <w:t xml:space="preserve"> före njurbiopsi</w:t>
      </w:r>
      <w:r w:rsidR="007549CE" w:rsidRPr="00FA1B69">
        <w:rPr>
          <w:sz w:val="20"/>
          <w:szCs w:val="20"/>
        </w:rPr>
        <w:t xml:space="preserve"> </w:t>
      </w:r>
      <w:r w:rsidR="001F5DDA" w:rsidRPr="00FA1B69">
        <w:rPr>
          <w:sz w:val="20"/>
          <w:szCs w:val="20"/>
        </w:rPr>
        <w:t>rapporterade</w:t>
      </w:r>
      <w:r w:rsidR="00384104">
        <w:rPr>
          <w:sz w:val="20"/>
          <w:szCs w:val="20"/>
        </w:rPr>
        <w:t>s</w:t>
      </w:r>
      <w:r w:rsidR="00D02517" w:rsidRPr="00FA1B69">
        <w:rPr>
          <w:sz w:val="20"/>
          <w:szCs w:val="20"/>
        </w:rPr>
        <w:t xml:space="preserve"> en fördel för behandlingsarmen gällande </w:t>
      </w:r>
      <w:r w:rsidR="008C6C73">
        <w:rPr>
          <w:sz w:val="20"/>
          <w:szCs w:val="20"/>
        </w:rPr>
        <w:t>minskning</w:t>
      </w:r>
      <w:r w:rsidR="008C6C73" w:rsidRPr="00FA1B69">
        <w:rPr>
          <w:sz w:val="20"/>
          <w:szCs w:val="20"/>
        </w:rPr>
        <w:t xml:space="preserve"> </w:t>
      </w:r>
      <w:r w:rsidR="00D02517" w:rsidRPr="00FA1B69">
        <w:rPr>
          <w:sz w:val="20"/>
          <w:szCs w:val="20"/>
        </w:rPr>
        <w:t xml:space="preserve">av </w:t>
      </w:r>
      <w:r w:rsidR="00D02517" w:rsidRPr="006A4DF6">
        <w:rPr>
          <w:sz w:val="20"/>
          <w:szCs w:val="20"/>
        </w:rPr>
        <w:t>minor</w:t>
      </w:r>
      <w:r w:rsidR="00D02517" w:rsidRPr="00FA1B69">
        <w:rPr>
          <w:sz w:val="20"/>
          <w:szCs w:val="20"/>
        </w:rPr>
        <w:t xml:space="preserve"> komplikationer (</w:t>
      </w:r>
      <w:r w:rsidR="008C6C73">
        <w:rPr>
          <w:sz w:val="20"/>
          <w:szCs w:val="20"/>
        </w:rPr>
        <w:t>def</w:t>
      </w:r>
      <w:r w:rsidR="003D081B">
        <w:rPr>
          <w:sz w:val="20"/>
          <w:szCs w:val="20"/>
        </w:rPr>
        <w:t>inition</w:t>
      </w:r>
      <w:r w:rsidR="008C6C73">
        <w:rPr>
          <w:sz w:val="20"/>
          <w:szCs w:val="20"/>
        </w:rPr>
        <w:t xml:space="preserve">: </w:t>
      </w:r>
      <w:r w:rsidR="007549CE" w:rsidRPr="00FA1B69">
        <w:rPr>
          <w:sz w:val="20"/>
          <w:szCs w:val="20"/>
        </w:rPr>
        <w:t xml:space="preserve">längd på vårdtillfälle </w:t>
      </w:r>
      <w:r w:rsidR="00D02517" w:rsidRPr="00FA1B69">
        <w:rPr>
          <w:sz w:val="20"/>
          <w:szCs w:val="20"/>
        </w:rPr>
        <w:t xml:space="preserve">eller </w:t>
      </w:r>
      <w:proofErr w:type="spellStart"/>
      <w:r w:rsidR="00D02517" w:rsidRPr="00FA1B69">
        <w:rPr>
          <w:sz w:val="20"/>
          <w:szCs w:val="20"/>
        </w:rPr>
        <w:t>hematom</w:t>
      </w:r>
      <w:proofErr w:type="spellEnd"/>
      <w:r w:rsidR="00D02517" w:rsidRPr="00FA1B69">
        <w:rPr>
          <w:sz w:val="20"/>
          <w:szCs w:val="20"/>
        </w:rPr>
        <w:t xml:space="preserve"> </w:t>
      </w:r>
      <w:proofErr w:type="gramStart"/>
      <w:r w:rsidR="00D02517" w:rsidRPr="00FA1B69">
        <w:rPr>
          <w:sz w:val="20"/>
          <w:szCs w:val="20"/>
        </w:rPr>
        <w:t>&lt; 2</w:t>
      </w:r>
      <w:proofErr w:type="gramEnd"/>
      <w:r w:rsidR="00D02517" w:rsidRPr="00FA1B69">
        <w:rPr>
          <w:sz w:val="20"/>
          <w:szCs w:val="20"/>
        </w:rPr>
        <w:t xml:space="preserve"> cm). </w:t>
      </w:r>
      <w:r w:rsidR="00AC2B61" w:rsidRPr="00FA1B69">
        <w:rPr>
          <w:sz w:val="20"/>
          <w:szCs w:val="20"/>
        </w:rPr>
        <w:t>D</w:t>
      </w:r>
      <w:r w:rsidR="001F5DDA" w:rsidRPr="00FA1B69">
        <w:rPr>
          <w:sz w:val="20"/>
          <w:szCs w:val="20"/>
        </w:rPr>
        <w:t>e totalt 162 p</w:t>
      </w:r>
      <w:r w:rsidR="00D02517" w:rsidRPr="00FA1B69">
        <w:rPr>
          <w:sz w:val="20"/>
          <w:szCs w:val="20"/>
        </w:rPr>
        <w:t xml:space="preserve">atienterna hade </w:t>
      </w:r>
      <w:proofErr w:type="gramStart"/>
      <w:r w:rsidR="00D02517" w:rsidRPr="00FA1B69">
        <w:rPr>
          <w:sz w:val="20"/>
          <w:szCs w:val="20"/>
        </w:rPr>
        <w:t>GFR &gt;</w:t>
      </w:r>
      <w:proofErr w:type="gramEnd"/>
      <w:r w:rsidR="00D02517" w:rsidRPr="00FA1B69">
        <w:rPr>
          <w:sz w:val="20"/>
          <w:szCs w:val="20"/>
        </w:rPr>
        <w:t xml:space="preserve"> 60 ml/min och var </w:t>
      </w:r>
      <w:r w:rsidR="003D081B">
        <w:rPr>
          <w:sz w:val="20"/>
          <w:szCs w:val="20"/>
        </w:rPr>
        <w:t>klassade</w:t>
      </w:r>
      <w:r w:rsidR="003D081B" w:rsidRPr="00FA1B69">
        <w:rPr>
          <w:sz w:val="20"/>
          <w:szCs w:val="20"/>
        </w:rPr>
        <w:t xml:space="preserve"> </w:t>
      </w:r>
      <w:r w:rsidR="00D02517" w:rsidRPr="00FA1B69">
        <w:rPr>
          <w:sz w:val="20"/>
          <w:szCs w:val="20"/>
        </w:rPr>
        <w:t>som lågriskfall</w:t>
      </w:r>
      <w:r w:rsidRPr="00FA1B69">
        <w:rPr>
          <w:sz w:val="20"/>
          <w:szCs w:val="20"/>
        </w:rPr>
        <w:t>(</w:t>
      </w:r>
      <w:r w:rsidR="005B7559" w:rsidRPr="005B7559">
        <w:rPr>
          <w:i/>
          <w:iCs/>
          <w:sz w:val="16"/>
          <w:szCs w:val="16"/>
        </w:rPr>
        <w:t>2</w:t>
      </w:r>
      <w:r w:rsidR="00B911CC">
        <w:rPr>
          <w:i/>
          <w:iCs/>
          <w:sz w:val="16"/>
          <w:szCs w:val="16"/>
        </w:rPr>
        <w:t>9</w:t>
      </w:r>
      <w:r w:rsidRPr="005B7559">
        <w:rPr>
          <w:sz w:val="20"/>
          <w:szCs w:val="20"/>
        </w:rPr>
        <w:t>)</w:t>
      </w:r>
      <w:r w:rsidR="003D081B">
        <w:rPr>
          <w:sz w:val="20"/>
          <w:szCs w:val="20"/>
        </w:rPr>
        <w:t>.</w:t>
      </w:r>
      <w:r w:rsidR="00D02517" w:rsidRPr="00FA1B69">
        <w:rPr>
          <w:sz w:val="20"/>
          <w:szCs w:val="20"/>
        </w:rPr>
        <w:t xml:space="preserve"> I</w:t>
      </w:r>
      <w:r w:rsidR="00AC2B61" w:rsidRPr="00FA1B69">
        <w:rPr>
          <w:sz w:val="20"/>
          <w:szCs w:val="20"/>
        </w:rPr>
        <w:t xml:space="preserve"> </w:t>
      </w:r>
      <w:r w:rsidR="00D02517" w:rsidRPr="00FA1B69">
        <w:rPr>
          <w:sz w:val="20"/>
          <w:szCs w:val="20"/>
        </w:rPr>
        <w:t>o</w:t>
      </w:r>
      <w:r w:rsidR="00AC2B61" w:rsidRPr="00FA1B69">
        <w:rPr>
          <w:sz w:val="20"/>
          <w:szCs w:val="20"/>
        </w:rPr>
        <w:t xml:space="preserve">ch </w:t>
      </w:r>
      <w:r w:rsidR="00223BEA" w:rsidRPr="00FA1B69">
        <w:rPr>
          <w:sz w:val="20"/>
          <w:szCs w:val="20"/>
        </w:rPr>
        <w:t>m</w:t>
      </w:r>
      <w:r w:rsidR="00AC2B61" w:rsidRPr="00FA1B69">
        <w:rPr>
          <w:sz w:val="20"/>
          <w:szCs w:val="20"/>
        </w:rPr>
        <w:t>ed</w:t>
      </w:r>
      <w:r w:rsidR="00D02517" w:rsidRPr="00FA1B69">
        <w:rPr>
          <w:sz w:val="20"/>
          <w:szCs w:val="20"/>
        </w:rPr>
        <w:t xml:space="preserve"> att ingen skillnad syntes mellan behandlad och obehandlad grupp avseende major komplikationer</w:t>
      </w:r>
      <w:r w:rsidR="00223BEA" w:rsidRPr="00FA1B69">
        <w:rPr>
          <w:sz w:val="20"/>
          <w:szCs w:val="20"/>
        </w:rPr>
        <w:t xml:space="preserve"> (</w:t>
      </w:r>
      <w:proofErr w:type="spellStart"/>
      <w:r w:rsidR="008C6C73">
        <w:rPr>
          <w:sz w:val="20"/>
          <w:szCs w:val="20"/>
        </w:rPr>
        <w:t>def</w:t>
      </w:r>
      <w:proofErr w:type="spellEnd"/>
      <w:r w:rsidR="008C6C73">
        <w:rPr>
          <w:sz w:val="20"/>
          <w:szCs w:val="20"/>
        </w:rPr>
        <w:t xml:space="preserve">: </w:t>
      </w:r>
      <w:proofErr w:type="spellStart"/>
      <w:proofErr w:type="gramStart"/>
      <w:r w:rsidR="00223BEA" w:rsidRPr="00FA1B69">
        <w:rPr>
          <w:sz w:val="20"/>
          <w:szCs w:val="20"/>
        </w:rPr>
        <w:t>hematom</w:t>
      </w:r>
      <w:proofErr w:type="spellEnd"/>
      <w:r w:rsidR="00223BEA" w:rsidRPr="00FA1B69">
        <w:rPr>
          <w:sz w:val="20"/>
          <w:szCs w:val="20"/>
        </w:rPr>
        <w:t xml:space="preserve"> &gt;</w:t>
      </w:r>
      <w:proofErr w:type="gramEnd"/>
      <w:r w:rsidR="00223BEA" w:rsidRPr="00FA1B69">
        <w:rPr>
          <w:sz w:val="20"/>
          <w:szCs w:val="20"/>
        </w:rPr>
        <w:t xml:space="preserve"> 2</w:t>
      </w:r>
      <w:r w:rsidR="008C6C73">
        <w:rPr>
          <w:sz w:val="20"/>
          <w:szCs w:val="20"/>
        </w:rPr>
        <w:t xml:space="preserve"> </w:t>
      </w:r>
      <w:r w:rsidR="00223BEA" w:rsidRPr="00FA1B69">
        <w:rPr>
          <w:sz w:val="20"/>
          <w:szCs w:val="20"/>
        </w:rPr>
        <w:t xml:space="preserve">cm, transfusion, </w:t>
      </w:r>
      <w:proofErr w:type="spellStart"/>
      <w:r w:rsidR="00223BEA" w:rsidRPr="00FA1B69">
        <w:rPr>
          <w:sz w:val="20"/>
          <w:szCs w:val="20"/>
        </w:rPr>
        <w:t>angioembolisering</w:t>
      </w:r>
      <w:proofErr w:type="spellEnd"/>
      <w:r w:rsidR="008C6C73">
        <w:rPr>
          <w:sz w:val="20"/>
          <w:szCs w:val="20"/>
        </w:rPr>
        <w:t>)</w:t>
      </w:r>
      <w:r w:rsidR="00031638">
        <w:rPr>
          <w:sz w:val="20"/>
          <w:szCs w:val="20"/>
        </w:rPr>
        <w:t>,</w:t>
      </w:r>
      <w:r w:rsidR="007549CE" w:rsidRPr="00FA1B69">
        <w:rPr>
          <w:sz w:val="20"/>
          <w:szCs w:val="20"/>
        </w:rPr>
        <w:t xml:space="preserve"> vilka var noll för </w:t>
      </w:r>
      <w:r w:rsidR="008C6C73">
        <w:rPr>
          <w:sz w:val="20"/>
          <w:szCs w:val="20"/>
        </w:rPr>
        <w:t>alla</w:t>
      </w:r>
      <w:r w:rsidR="008C6C73" w:rsidRPr="00FA1B69">
        <w:rPr>
          <w:sz w:val="20"/>
          <w:szCs w:val="20"/>
        </w:rPr>
        <w:t xml:space="preserve"> </w:t>
      </w:r>
      <w:r w:rsidR="00384104">
        <w:rPr>
          <w:sz w:val="20"/>
          <w:szCs w:val="20"/>
        </w:rPr>
        <w:t>komplikations</w:t>
      </w:r>
      <w:r w:rsidR="007549CE" w:rsidRPr="00FA1B69">
        <w:rPr>
          <w:sz w:val="20"/>
          <w:szCs w:val="20"/>
        </w:rPr>
        <w:t>kategorier i båda studiegrupperna</w:t>
      </w:r>
      <w:r w:rsidR="00031638">
        <w:rPr>
          <w:sz w:val="20"/>
          <w:szCs w:val="20"/>
        </w:rPr>
        <w:t>,</w:t>
      </w:r>
      <w:r w:rsidR="00D02517" w:rsidRPr="00FA1B69">
        <w:rPr>
          <w:sz w:val="20"/>
          <w:szCs w:val="20"/>
        </w:rPr>
        <w:t xml:space="preserve"> är </w:t>
      </w:r>
      <w:r w:rsidR="00223BEA" w:rsidRPr="00FA1B69">
        <w:rPr>
          <w:sz w:val="20"/>
          <w:szCs w:val="20"/>
        </w:rPr>
        <w:t xml:space="preserve">det </w:t>
      </w:r>
      <w:r w:rsidR="00384104">
        <w:rPr>
          <w:sz w:val="20"/>
          <w:szCs w:val="20"/>
        </w:rPr>
        <w:t xml:space="preserve">mycket </w:t>
      </w:r>
      <w:r w:rsidR="00223BEA" w:rsidRPr="00FA1B69">
        <w:rPr>
          <w:sz w:val="20"/>
          <w:szCs w:val="20"/>
        </w:rPr>
        <w:t xml:space="preserve">tveksamt </w:t>
      </w:r>
      <w:r w:rsidR="00BD5AAA">
        <w:rPr>
          <w:sz w:val="20"/>
          <w:szCs w:val="20"/>
        </w:rPr>
        <w:t>att skillnaden</w:t>
      </w:r>
      <w:r w:rsidR="00223BEA" w:rsidRPr="00FA1B69">
        <w:rPr>
          <w:sz w:val="20"/>
          <w:szCs w:val="20"/>
        </w:rPr>
        <w:t xml:space="preserve"> </w:t>
      </w:r>
      <w:r w:rsidR="00DC4676" w:rsidRPr="00FA1B69">
        <w:rPr>
          <w:sz w:val="20"/>
          <w:szCs w:val="20"/>
        </w:rPr>
        <w:t>kan</w:t>
      </w:r>
      <w:r w:rsidR="00223BEA" w:rsidRPr="00FA1B69">
        <w:rPr>
          <w:sz w:val="20"/>
          <w:szCs w:val="20"/>
        </w:rPr>
        <w:t xml:space="preserve"> </w:t>
      </w:r>
      <w:r w:rsidR="00384104">
        <w:rPr>
          <w:sz w:val="20"/>
          <w:szCs w:val="20"/>
        </w:rPr>
        <w:t>anses vara</w:t>
      </w:r>
      <w:r w:rsidR="00D02517" w:rsidRPr="00FA1B69">
        <w:rPr>
          <w:sz w:val="20"/>
          <w:szCs w:val="20"/>
        </w:rPr>
        <w:t xml:space="preserve"> kliniskt </w:t>
      </w:r>
      <w:r w:rsidR="00223BEA" w:rsidRPr="00FA1B69">
        <w:rPr>
          <w:sz w:val="20"/>
          <w:szCs w:val="20"/>
        </w:rPr>
        <w:t>relevant.</w:t>
      </w:r>
      <w:r w:rsidR="00D02517" w:rsidRPr="00FA1B69">
        <w:rPr>
          <w:sz w:val="20"/>
          <w:szCs w:val="20"/>
        </w:rPr>
        <w:t xml:space="preserve">  </w:t>
      </w:r>
      <w:r w:rsidR="00DC4676" w:rsidRPr="00FA1B69">
        <w:rPr>
          <w:sz w:val="20"/>
          <w:szCs w:val="20"/>
        </w:rPr>
        <w:t>S</w:t>
      </w:r>
      <w:r w:rsidR="00223BEA" w:rsidRPr="00FA1B69">
        <w:rPr>
          <w:sz w:val="20"/>
          <w:szCs w:val="20"/>
        </w:rPr>
        <w:t xml:space="preserve">tudien </w:t>
      </w:r>
      <w:r w:rsidR="00DC4676" w:rsidRPr="00FA1B69">
        <w:rPr>
          <w:sz w:val="20"/>
          <w:szCs w:val="20"/>
        </w:rPr>
        <w:t xml:space="preserve">fick </w:t>
      </w:r>
      <w:r w:rsidR="003D081B">
        <w:rPr>
          <w:sz w:val="20"/>
          <w:szCs w:val="20"/>
        </w:rPr>
        <w:t xml:space="preserve">trots de blygsamma resultaten </w:t>
      </w:r>
      <w:r w:rsidR="00223BEA" w:rsidRPr="00FA1B69">
        <w:rPr>
          <w:sz w:val="20"/>
          <w:szCs w:val="20"/>
        </w:rPr>
        <w:t xml:space="preserve">stort genomslag och i Sverige </w:t>
      </w:r>
      <w:r w:rsidR="00A8156C" w:rsidRPr="00FA1B69">
        <w:rPr>
          <w:sz w:val="20"/>
          <w:szCs w:val="20"/>
        </w:rPr>
        <w:t xml:space="preserve">har </w:t>
      </w:r>
      <w:r w:rsidR="003D081B">
        <w:rPr>
          <w:sz w:val="20"/>
          <w:szCs w:val="20"/>
        </w:rPr>
        <w:t>många</w:t>
      </w:r>
      <w:r w:rsidR="00223BEA" w:rsidRPr="00FA1B69">
        <w:rPr>
          <w:sz w:val="20"/>
          <w:szCs w:val="20"/>
        </w:rPr>
        <w:t xml:space="preserve"> njurmedicinska kliniker </w:t>
      </w:r>
      <w:r w:rsidR="00A8156C" w:rsidRPr="00FA1B69">
        <w:rPr>
          <w:sz w:val="20"/>
          <w:szCs w:val="20"/>
        </w:rPr>
        <w:t xml:space="preserve">använt </w:t>
      </w:r>
      <w:proofErr w:type="spellStart"/>
      <w:r w:rsidR="00DC4676" w:rsidRPr="00FA1B69">
        <w:rPr>
          <w:sz w:val="20"/>
          <w:szCs w:val="20"/>
        </w:rPr>
        <w:t>d</w:t>
      </w:r>
      <w:r w:rsidR="00223BEA" w:rsidRPr="00FA1B69">
        <w:rPr>
          <w:sz w:val="20"/>
          <w:szCs w:val="20"/>
        </w:rPr>
        <w:t>esmopressin</w:t>
      </w:r>
      <w:proofErr w:type="spellEnd"/>
      <w:r w:rsidR="00223BEA" w:rsidRPr="00FA1B69">
        <w:rPr>
          <w:sz w:val="20"/>
          <w:szCs w:val="20"/>
        </w:rPr>
        <w:t xml:space="preserve"> </w:t>
      </w:r>
      <w:r w:rsidR="00A8156C" w:rsidRPr="00FA1B69">
        <w:rPr>
          <w:sz w:val="20"/>
          <w:szCs w:val="20"/>
        </w:rPr>
        <w:t xml:space="preserve">inför njurbiopsi </w:t>
      </w:r>
      <w:r w:rsidR="00223BEA" w:rsidRPr="00FA1B69">
        <w:rPr>
          <w:sz w:val="20"/>
          <w:szCs w:val="20"/>
        </w:rPr>
        <w:t xml:space="preserve">vid </w:t>
      </w:r>
      <w:r w:rsidR="00BC260B" w:rsidRPr="00FA1B69">
        <w:rPr>
          <w:sz w:val="20"/>
          <w:szCs w:val="20"/>
        </w:rPr>
        <w:t xml:space="preserve">lågt </w:t>
      </w:r>
      <w:r w:rsidR="00223BEA" w:rsidRPr="00FA1B69">
        <w:rPr>
          <w:sz w:val="20"/>
          <w:szCs w:val="20"/>
        </w:rPr>
        <w:t>GFR</w:t>
      </w:r>
      <w:r w:rsidR="00292BBB" w:rsidRPr="00FA1B69">
        <w:rPr>
          <w:sz w:val="20"/>
          <w:szCs w:val="20"/>
        </w:rPr>
        <w:t xml:space="preserve"> </w:t>
      </w:r>
      <w:proofErr w:type="gramStart"/>
      <w:r w:rsidR="00292BBB" w:rsidRPr="00FA1B69">
        <w:rPr>
          <w:sz w:val="20"/>
          <w:szCs w:val="20"/>
        </w:rPr>
        <w:t>(&lt; 30</w:t>
      </w:r>
      <w:proofErr w:type="gramEnd"/>
      <w:r w:rsidR="00292BBB" w:rsidRPr="00FA1B69">
        <w:rPr>
          <w:sz w:val="20"/>
          <w:szCs w:val="20"/>
        </w:rPr>
        <w:t>-45</w:t>
      </w:r>
      <w:r w:rsidR="00A90832" w:rsidRPr="00FA1B69">
        <w:rPr>
          <w:sz w:val="20"/>
          <w:szCs w:val="20"/>
        </w:rPr>
        <w:t xml:space="preserve"> ml/min</w:t>
      </w:r>
      <w:r w:rsidR="00292BBB" w:rsidRPr="00FA1B69">
        <w:rPr>
          <w:sz w:val="20"/>
          <w:szCs w:val="20"/>
        </w:rPr>
        <w:t>)</w:t>
      </w:r>
      <w:r w:rsidR="00223BEA" w:rsidRPr="00FA1B69">
        <w:rPr>
          <w:sz w:val="20"/>
          <w:szCs w:val="20"/>
        </w:rPr>
        <w:t xml:space="preserve"> eller </w:t>
      </w:r>
      <w:r w:rsidR="00384104">
        <w:rPr>
          <w:sz w:val="20"/>
          <w:szCs w:val="20"/>
        </w:rPr>
        <w:t xml:space="preserve">vid </w:t>
      </w:r>
      <w:r w:rsidR="00223BEA" w:rsidRPr="00FA1B69">
        <w:rPr>
          <w:sz w:val="20"/>
          <w:szCs w:val="20"/>
        </w:rPr>
        <w:t>an</w:t>
      </w:r>
      <w:r w:rsidR="003D081B">
        <w:rPr>
          <w:sz w:val="20"/>
          <w:szCs w:val="20"/>
        </w:rPr>
        <w:t>dr</w:t>
      </w:r>
      <w:r w:rsidR="00223BEA" w:rsidRPr="00FA1B69">
        <w:rPr>
          <w:sz w:val="20"/>
          <w:szCs w:val="20"/>
        </w:rPr>
        <w:t>a känd</w:t>
      </w:r>
      <w:r w:rsidR="003D081B">
        <w:rPr>
          <w:sz w:val="20"/>
          <w:szCs w:val="20"/>
        </w:rPr>
        <w:t>a</w:t>
      </w:r>
      <w:r w:rsidR="00A8156C" w:rsidRPr="00FA1B69">
        <w:rPr>
          <w:sz w:val="20"/>
          <w:szCs w:val="20"/>
        </w:rPr>
        <w:t xml:space="preserve"> riskfaktorer för</w:t>
      </w:r>
      <w:r w:rsidR="00223BEA" w:rsidRPr="00FA1B69">
        <w:rPr>
          <w:sz w:val="20"/>
          <w:szCs w:val="20"/>
        </w:rPr>
        <w:t xml:space="preserve"> blödning . </w:t>
      </w:r>
    </w:p>
    <w:p w14:paraId="06327EAF" w14:textId="427345F3" w:rsidR="00384104" w:rsidRDefault="00A8156C" w:rsidP="00384104">
      <w:pPr>
        <w:rPr>
          <w:sz w:val="20"/>
          <w:szCs w:val="20"/>
        </w:rPr>
      </w:pPr>
      <w:r w:rsidRPr="00FA1B69">
        <w:rPr>
          <w:sz w:val="20"/>
          <w:szCs w:val="20"/>
        </w:rPr>
        <w:t>E</w:t>
      </w:r>
      <w:r w:rsidR="00D02517" w:rsidRPr="00FA1B69">
        <w:rPr>
          <w:sz w:val="20"/>
          <w:szCs w:val="20"/>
        </w:rPr>
        <w:t>n</w:t>
      </w:r>
      <w:r w:rsidRPr="00FA1B69">
        <w:rPr>
          <w:sz w:val="20"/>
          <w:szCs w:val="20"/>
        </w:rPr>
        <w:t xml:space="preserve"> kanadensisk</w:t>
      </w:r>
      <w:r w:rsidR="00D02517" w:rsidRPr="00FA1B69">
        <w:rPr>
          <w:sz w:val="20"/>
          <w:szCs w:val="20"/>
        </w:rPr>
        <w:t xml:space="preserve"> retrospektiv </w:t>
      </w:r>
      <w:r w:rsidR="008C6C73">
        <w:rPr>
          <w:sz w:val="20"/>
          <w:szCs w:val="20"/>
        </w:rPr>
        <w:t>s</w:t>
      </w:r>
      <w:r w:rsidR="00D02517" w:rsidRPr="00FA1B69">
        <w:rPr>
          <w:sz w:val="20"/>
          <w:szCs w:val="20"/>
        </w:rPr>
        <w:t xml:space="preserve">tudie </w:t>
      </w:r>
      <w:r w:rsidRPr="00FA1B69">
        <w:rPr>
          <w:sz w:val="20"/>
          <w:szCs w:val="20"/>
        </w:rPr>
        <w:t>med</w:t>
      </w:r>
      <w:r w:rsidR="00D02517" w:rsidRPr="00FA1B69">
        <w:rPr>
          <w:sz w:val="20"/>
          <w:szCs w:val="20"/>
        </w:rPr>
        <w:t xml:space="preserve"> </w:t>
      </w:r>
      <w:r w:rsidR="00DC4676" w:rsidRPr="00FA1B69">
        <w:rPr>
          <w:sz w:val="20"/>
          <w:szCs w:val="20"/>
        </w:rPr>
        <w:t xml:space="preserve">328 </w:t>
      </w:r>
      <w:proofErr w:type="spellStart"/>
      <w:r w:rsidR="008C6C73">
        <w:rPr>
          <w:sz w:val="20"/>
          <w:szCs w:val="20"/>
        </w:rPr>
        <w:t>njur</w:t>
      </w:r>
      <w:r w:rsidR="00D02517" w:rsidRPr="00FA1B69">
        <w:rPr>
          <w:sz w:val="20"/>
          <w:szCs w:val="20"/>
        </w:rPr>
        <w:t>biopserad</w:t>
      </w:r>
      <w:r w:rsidR="00BC260B" w:rsidRPr="00FA1B69">
        <w:rPr>
          <w:sz w:val="20"/>
          <w:szCs w:val="20"/>
        </w:rPr>
        <w:t>e</w:t>
      </w:r>
      <w:proofErr w:type="spellEnd"/>
      <w:r w:rsidR="00BC260B" w:rsidRPr="00FA1B69">
        <w:rPr>
          <w:sz w:val="20"/>
          <w:szCs w:val="20"/>
        </w:rPr>
        <w:t xml:space="preserve"> </w:t>
      </w:r>
      <w:proofErr w:type="spellStart"/>
      <w:r w:rsidR="00BC260B" w:rsidRPr="00FA1B69">
        <w:rPr>
          <w:sz w:val="20"/>
          <w:szCs w:val="20"/>
        </w:rPr>
        <w:t>d</w:t>
      </w:r>
      <w:r w:rsidR="00D02517" w:rsidRPr="00FA1B69">
        <w:rPr>
          <w:sz w:val="20"/>
          <w:szCs w:val="20"/>
        </w:rPr>
        <w:t>esmopressinbehandlade</w:t>
      </w:r>
      <w:proofErr w:type="spellEnd"/>
      <w:r w:rsidR="00D02517" w:rsidRPr="00FA1B69">
        <w:rPr>
          <w:sz w:val="20"/>
          <w:szCs w:val="20"/>
        </w:rPr>
        <w:t xml:space="preserve"> patienter jämfördes med </w:t>
      </w:r>
      <w:r w:rsidR="00BC260B" w:rsidRPr="00FA1B69">
        <w:rPr>
          <w:sz w:val="20"/>
          <w:szCs w:val="20"/>
        </w:rPr>
        <w:t xml:space="preserve">85 </w:t>
      </w:r>
      <w:r w:rsidR="00D02517" w:rsidRPr="00FA1B69">
        <w:rPr>
          <w:sz w:val="20"/>
          <w:szCs w:val="20"/>
        </w:rPr>
        <w:t>icke</w:t>
      </w:r>
      <w:r w:rsidR="008D50AE">
        <w:rPr>
          <w:sz w:val="20"/>
          <w:szCs w:val="20"/>
        </w:rPr>
        <w:t>-</w:t>
      </w:r>
      <w:proofErr w:type="spellStart"/>
      <w:r w:rsidR="00D02517" w:rsidRPr="00FA1B69">
        <w:rPr>
          <w:sz w:val="20"/>
          <w:szCs w:val="20"/>
        </w:rPr>
        <w:t>desmopressinbehandlade</w:t>
      </w:r>
      <w:proofErr w:type="spellEnd"/>
      <w:r w:rsidR="00BC260B" w:rsidRPr="00FA1B69">
        <w:rPr>
          <w:sz w:val="20"/>
          <w:szCs w:val="20"/>
        </w:rPr>
        <w:t xml:space="preserve"> </w:t>
      </w:r>
      <w:r w:rsidR="008C6C73">
        <w:rPr>
          <w:sz w:val="20"/>
          <w:szCs w:val="20"/>
        </w:rPr>
        <w:t>kontroller</w:t>
      </w:r>
      <w:r w:rsidR="008C6C73" w:rsidRPr="00FA1B69">
        <w:rPr>
          <w:sz w:val="20"/>
          <w:szCs w:val="20"/>
        </w:rPr>
        <w:t xml:space="preserve"> </w:t>
      </w:r>
      <w:r w:rsidR="00D02517" w:rsidRPr="00FA1B69">
        <w:rPr>
          <w:sz w:val="20"/>
          <w:szCs w:val="20"/>
        </w:rPr>
        <w:t>avseende komplikationer</w:t>
      </w:r>
      <w:r w:rsidRPr="00FA1B69">
        <w:rPr>
          <w:sz w:val="20"/>
          <w:szCs w:val="20"/>
        </w:rPr>
        <w:t xml:space="preserve"> utan att de</w:t>
      </w:r>
      <w:r w:rsidR="001F5DDA" w:rsidRPr="00FA1B69">
        <w:rPr>
          <w:sz w:val="20"/>
          <w:szCs w:val="20"/>
        </w:rPr>
        <w:t xml:space="preserve"> fann </w:t>
      </w:r>
      <w:r w:rsidRPr="00FA1B69">
        <w:rPr>
          <w:sz w:val="20"/>
          <w:szCs w:val="20"/>
        </w:rPr>
        <w:t xml:space="preserve">några </w:t>
      </w:r>
      <w:r w:rsidR="001F5DDA" w:rsidRPr="00FA1B69">
        <w:rPr>
          <w:sz w:val="20"/>
          <w:szCs w:val="20"/>
        </w:rPr>
        <w:t>skillnader i blödning</w:t>
      </w:r>
      <w:r w:rsidR="00DC4676" w:rsidRPr="00FA1B69">
        <w:rPr>
          <w:sz w:val="20"/>
          <w:szCs w:val="20"/>
        </w:rPr>
        <w:t>s</w:t>
      </w:r>
      <w:r w:rsidR="001F5DDA" w:rsidRPr="00FA1B69">
        <w:rPr>
          <w:sz w:val="20"/>
          <w:szCs w:val="20"/>
        </w:rPr>
        <w:t>risk mellan grupperna</w:t>
      </w:r>
      <w:r w:rsidR="008D50AE">
        <w:rPr>
          <w:sz w:val="20"/>
          <w:szCs w:val="20"/>
        </w:rPr>
        <w:t xml:space="preserve"> </w:t>
      </w:r>
      <w:r w:rsidRPr="00FA1B69">
        <w:rPr>
          <w:sz w:val="20"/>
          <w:szCs w:val="20"/>
        </w:rPr>
        <w:t>(</w:t>
      </w:r>
      <w:r w:rsidR="005B7559" w:rsidRPr="005B7559">
        <w:rPr>
          <w:sz w:val="16"/>
          <w:szCs w:val="16"/>
        </w:rPr>
        <w:t>29</w:t>
      </w:r>
      <w:r w:rsidRPr="00FA1B69">
        <w:rPr>
          <w:sz w:val="20"/>
          <w:szCs w:val="20"/>
        </w:rPr>
        <w:t>)</w:t>
      </w:r>
      <w:r w:rsidR="001F5DDA" w:rsidRPr="00FA1B69">
        <w:rPr>
          <w:sz w:val="20"/>
          <w:szCs w:val="20"/>
        </w:rPr>
        <w:t>.</w:t>
      </w:r>
      <w:r w:rsidR="00B920FF" w:rsidRPr="00FA1B69">
        <w:rPr>
          <w:sz w:val="20"/>
          <w:szCs w:val="20"/>
        </w:rPr>
        <w:t xml:space="preserve"> </w:t>
      </w:r>
      <w:r w:rsidR="00A90832" w:rsidRPr="00FA1B69">
        <w:rPr>
          <w:sz w:val="20"/>
          <w:szCs w:val="20"/>
        </w:rPr>
        <w:t xml:space="preserve">En svensk studie på 427 patienter med </w:t>
      </w:r>
      <w:proofErr w:type="gramStart"/>
      <w:r w:rsidR="00A90832" w:rsidRPr="00FA1B69">
        <w:rPr>
          <w:sz w:val="20"/>
          <w:szCs w:val="20"/>
        </w:rPr>
        <w:t>kreatinin &gt;</w:t>
      </w:r>
      <w:proofErr w:type="gramEnd"/>
      <w:r w:rsidR="00A90832" w:rsidRPr="00FA1B69">
        <w:rPr>
          <w:sz w:val="20"/>
          <w:szCs w:val="20"/>
        </w:rPr>
        <w:t xml:space="preserve"> 150 </w:t>
      </w:r>
      <w:r w:rsidR="00A90832" w:rsidRPr="00FA1B69">
        <w:rPr>
          <w:rFonts w:cstheme="minorHAnsi"/>
          <w:sz w:val="20"/>
          <w:szCs w:val="20"/>
        </w:rPr>
        <w:t>µ</w:t>
      </w:r>
      <w:r w:rsidR="00A90832" w:rsidRPr="00FA1B69">
        <w:rPr>
          <w:sz w:val="20"/>
          <w:szCs w:val="20"/>
        </w:rPr>
        <w:t xml:space="preserve">mol / L tolkade ett </w:t>
      </w:r>
      <w:r w:rsidR="006A4DF6">
        <w:rPr>
          <w:sz w:val="20"/>
          <w:szCs w:val="20"/>
        </w:rPr>
        <w:t>icke standardiserat total</w:t>
      </w:r>
      <w:r w:rsidR="006A4DF6" w:rsidRPr="00FA1B69">
        <w:rPr>
          <w:sz w:val="20"/>
          <w:szCs w:val="20"/>
        </w:rPr>
        <w:t xml:space="preserve">riskmått </w:t>
      </w:r>
      <w:r w:rsidR="00A90832" w:rsidRPr="00FA1B69">
        <w:rPr>
          <w:sz w:val="20"/>
          <w:szCs w:val="20"/>
        </w:rPr>
        <w:t>som positivt för behandlingsgruppen</w:t>
      </w:r>
      <w:r w:rsidR="006A4DF6">
        <w:rPr>
          <w:sz w:val="20"/>
          <w:szCs w:val="20"/>
        </w:rPr>
        <w:t xml:space="preserve"> </w:t>
      </w:r>
      <w:r w:rsidR="00A90832" w:rsidRPr="00FA1B69">
        <w:rPr>
          <w:sz w:val="20"/>
          <w:szCs w:val="20"/>
        </w:rPr>
        <w:t>men kunde ej påvisa minskade major el</w:t>
      </w:r>
      <w:r w:rsidR="008C6C73">
        <w:rPr>
          <w:sz w:val="20"/>
          <w:szCs w:val="20"/>
        </w:rPr>
        <w:t>ler</w:t>
      </w:r>
      <w:r w:rsidR="00A90832" w:rsidRPr="00FA1B69">
        <w:rPr>
          <w:sz w:val="20"/>
          <w:szCs w:val="20"/>
        </w:rPr>
        <w:t xml:space="preserve"> minor komplikationer efter </w:t>
      </w:r>
      <w:proofErr w:type="spellStart"/>
      <w:r w:rsidR="00A90832" w:rsidRPr="00FA1B69">
        <w:rPr>
          <w:sz w:val="20"/>
          <w:szCs w:val="20"/>
        </w:rPr>
        <w:t>desmopressin</w:t>
      </w:r>
      <w:proofErr w:type="spellEnd"/>
      <w:r w:rsidR="00A90832" w:rsidRPr="00FA1B69">
        <w:rPr>
          <w:sz w:val="20"/>
          <w:szCs w:val="20"/>
        </w:rPr>
        <w:t xml:space="preserve"> (</w:t>
      </w:r>
      <w:r w:rsidR="00B911CC">
        <w:rPr>
          <w:sz w:val="16"/>
          <w:szCs w:val="16"/>
        </w:rPr>
        <w:t>30</w:t>
      </w:r>
      <w:r w:rsidR="00A90832" w:rsidRPr="00FA1B69">
        <w:rPr>
          <w:sz w:val="20"/>
          <w:szCs w:val="20"/>
        </w:rPr>
        <w:t>)</w:t>
      </w:r>
      <w:r w:rsidR="00964D77" w:rsidRPr="00FA1B69">
        <w:rPr>
          <w:sz w:val="20"/>
          <w:szCs w:val="20"/>
        </w:rPr>
        <w:t>.</w:t>
      </w:r>
    </w:p>
    <w:p w14:paraId="6F251CDC" w14:textId="7AC6830C" w:rsidR="00384104" w:rsidRPr="00FA1B69" w:rsidRDefault="00A90832" w:rsidP="00384104">
      <w:pPr>
        <w:rPr>
          <w:sz w:val="20"/>
          <w:szCs w:val="20"/>
        </w:rPr>
      </w:pPr>
      <w:r w:rsidRPr="00FA1B69">
        <w:rPr>
          <w:sz w:val="20"/>
          <w:szCs w:val="20"/>
        </w:rPr>
        <w:t xml:space="preserve"> </w:t>
      </w:r>
      <w:proofErr w:type="spellStart"/>
      <w:r w:rsidR="00384104" w:rsidRPr="00FA1B69">
        <w:rPr>
          <w:sz w:val="20"/>
          <w:szCs w:val="20"/>
        </w:rPr>
        <w:t>Desmopressin</w:t>
      </w:r>
      <w:proofErr w:type="spellEnd"/>
      <w:r w:rsidR="00384104" w:rsidRPr="00FA1B69">
        <w:rPr>
          <w:sz w:val="20"/>
          <w:szCs w:val="20"/>
        </w:rPr>
        <w:t xml:space="preserve"> har en antidiuretisk effekt som möjlig förklaring bakom de</w:t>
      </w:r>
      <w:r w:rsidR="008D50AE">
        <w:rPr>
          <w:sz w:val="20"/>
          <w:szCs w:val="20"/>
        </w:rPr>
        <w:t>n</w:t>
      </w:r>
      <w:r w:rsidR="00384104" w:rsidRPr="00FA1B69">
        <w:rPr>
          <w:sz w:val="20"/>
          <w:szCs w:val="20"/>
        </w:rPr>
        <w:t xml:space="preserve"> </w:t>
      </w:r>
      <w:r w:rsidR="008D50AE">
        <w:rPr>
          <w:sz w:val="20"/>
          <w:szCs w:val="20"/>
        </w:rPr>
        <w:t>ofta</w:t>
      </w:r>
      <w:r w:rsidR="008D50AE" w:rsidRPr="00FA1B69">
        <w:rPr>
          <w:sz w:val="20"/>
          <w:szCs w:val="20"/>
        </w:rPr>
        <w:t xml:space="preserve"> </w:t>
      </w:r>
      <w:r w:rsidR="00384104" w:rsidRPr="00FA1B69">
        <w:rPr>
          <w:sz w:val="20"/>
          <w:szCs w:val="20"/>
        </w:rPr>
        <w:t xml:space="preserve">observerbara </w:t>
      </w:r>
      <w:proofErr w:type="spellStart"/>
      <w:r w:rsidR="00384104" w:rsidRPr="00FA1B69">
        <w:rPr>
          <w:sz w:val="20"/>
          <w:szCs w:val="20"/>
        </w:rPr>
        <w:t>krea</w:t>
      </w:r>
      <w:r w:rsidR="00031638">
        <w:rPr>
          <w:sz w:val="20"/>
          <w:szCs w:val="20"/>
        </w:rPr>
        <w:t>tinin</w:t>
      </w:r>
      <w:r w:rsidR="00384104" w:rsidRPr="00FA1B69">
        <w:rPr>
          <w:sz w:val="20"/>
          <w:szCs w:val="20"/>
        </w:rPr>
        <w:t>sänkningen</w:t>
      </w:r>
      <w:proofErr w:type="spellEnd"/>
      <w:r w:rsidR="00384104" w:rsidRPr="00FA1B69">
        <w:rPr>
          <w:sz w:val="20"/>
          <w:szCs w:val="20"/>
        </w:rPr>
        <w:t xml:space="preserve"> och sjunkande </w:t>
      </w:r>
      <w:proofErr w:type="spellStart"/>
      <w:r w:rsidR="00384104" w:rsidRPr="00FA1B69">
        <w:rPr>
          <w:sz w:val="20"/>
          <w:szCs w:val="20"/>
        </w:rPr>
        <w:t>Hb-värdet</w:t>
      </w:r>
      <w:proofErr w:type="spellEnd"/>
      <w:r w:rsidR="008D50AE">
        <w:rPr>
          <w:sz w:val="20"/>
          <w:szCs w:val="20"/>
        </w:rPr>
        <w:t xml:space="preserve"> efter administration</w:t>
      </w:r>
      <w:r w:rsidR="00384104" w:rsidRPr="00FA1B69">
        <w:rPr>
          <w:sz w:val="20"/>
          <w:szCs w:val="20"/>
        </w:rPr>
        <w:t xml:space="preserve">. 10 % av behandlade patienter utvecklar </w:t>
      </w:r>
      <w:r w:rsidR="00BD5AAA">
        <w:rPr>
          <w:sz w:val="20"/>
          <w:szCs w:val="20"/>
        </w:rPr>
        <w:t>också</w:t>
      </w:r>
      <w:r w:rsidR="008D50AE">
        <w:rPr>
          <w:sz w:val="20"/>
          <w:szCs w:val="20"/>
        </w:rPr>
        <w:t xml:space="preserve"> </w:t>
      </w:r>
      <w:proofErr w:type="spellStart"/>
      <w:r w:rsidR="00384104" w:rsidRPr="00FA1B69">
        <w:rPr>
          <w:sz w:val="20"/>
          <w:szCs w:val="20"/>
        </w:rPr>
        <w:t>hyponatremi</w:t>
      </w:r>
      <w:proofErr w:type="spellEnd"/>
      <w:r w:rsidR="00BD5AAA">
        <w:rPr>
          <w:sz w:val="20"/>
          <w:szCs w:val="20"/>
        </w:rPr>
        <w:t>,</w:t>
      </w:r>
      <w:r w:rsidR="00384104" w:rsidRPr="00FA1B69">
        <w:rPr>
          <w:sz w:val="20"/>
          <w:szCs w:val="20"/>
        </w:rPr>
        <w:t xml:space="preserve"> vilket </w:t>
      </w:r>
      <w:r w:rsidR="008C6C73">
        <w:rPr>
          <w:sz w:val="20"/>
          <w:szCs w:val="20"/>
        </w:rPr>
        <w:t xml:space="preserve">särskilt </w:t>
      </w:r>
      <w:r w:rsidR="00384104" w:rsidRPr="00FA1B69">
        <w:rPr>
          <w:sz w:val="20"/>
          <w:szCs w:val="20"/>
        </w:rPr>
        <w:t xml:space="preserve">bör beaktas </w:t>
      </w:r>
      <w:r w:rsidR="008C6C73">
        <w:rPr>
          <w:sz w:val="20"/>
          <w:szCs w:val="20"/>
        </w:rPr>
        <w:t>hos patienter med</w:t>
      </w:r>
      <w:r w:rsidR="008C6C73" w:rsidRPr="00FA1B69">
        <w:rPr>
          <w:sz w:val="20"/>
          <w:szCs w:val="20"/>
        </w:rPr>
        <w:t xml:space="preserve"> </w:t>
      </w:r>
      <w:r w:rsidR="00384104" w:rsidRPr="00FA1B69">
        <w:rPr>
          <w:sz w:val="20"/>
          <w:szCs w:val="20"/>
        </w:rPr>
        <w:t>ödemproblematik</w:t>
      </w:r>
      <w:r w:rsidR="008C6C73">
        <w:rPr>
          <w:sz w:val="20"/>
          <w:szCs w:val="20"/>
        </w:rPr>
        <w:t>,</w:t>
      </w:r>
      <w:r w:rsidR="00384104" w:rsidRPr="00FA1B69">
        <w:rPr>
          <w:sz w:val="20"/>
          <w:szCs w:val="20"/>
        </w:rPr>
        <w:t xml:space="preserve"> </w:t>
      </w:r>
      <w:proofErr w:type="spellStart"/>
      <w:r w:rsidR="00384104" w:rsidRPr="00FA1B69">
        <w:rPr>
          <w:sz w:val="20"/>
          <w:szCs w:val="20"/>
        </w:rPr>
        <w:t>hjärt</w:t>
      </w:r>
      <w:proofErr w:type="spellEnd"/>
      <w:r w:rsidR="00384104" w:rsidRPr="00FA1B69">
        <w:rPr>
          <w:sz w:val="20"/>
          <w:szCs w:val="20"/>
        </w:rPr>
        <w:t xml:space="preserve"> och leversvikt. Även </w:t>
      </w:r>
      <w:proofErr w:type="spellStart"/>
      <w:r w:rsidR="00384104" w:rsidRPr="00FA1B69">
        <w:rPr>
          <w:sz w:val="20"/>
          <w:szCs w:val="20"/>
        </w:rPr>
        <w:t>koronarischemi</w:t>
      </w:r>
      <w:proofErr w:type="spellEnd"/>
      <w:r w:rsidR="00384104" w:rsidRPr="00FA1B69">
        <w:rPr>
          <w:sz w:val="20"/>
          <w:szCs w:val="20"/>
        </w:rPr>
        <w:t xml:space="preserve"> och hjärnödem har beskrivits som biverkningar.</w:t>
      </w:r>
      <w:r w:rsidR="008D50AE">
        <w:rPr>
          <w:sz w:val="20"/>
          <w:szCs w:val="20"/>
        </w:rPr>
        <w:t xml:space="preserve"> </w:t>
      </w:r>
      <w:proofErr w:type="spellStart"/>
      <w:r w:rsidR="007F4CB1" w:rsidRPr="00FA1B69">
        <w:rPr>
          <w:sz w:val="20"/>
          <w:szCs w:val="20"/>
        </w:rPr>
        <w:t>Desmopressin</w:t>
      </w:r>
      <w:proofErr w:type="spellEnd"/>
      <w:r w:rsidR="007F4CB1" w:rsidRPr="00FA1B69">
        <w:rPr>
          <w:sz w:val="20"/>
          <w:szCs w:val="20"/>
        </w:rPr>
        <w:t xml:space="preserve"> bör undvikas </w:t>
      </w:r>
      <w:r w:rsidR="007F4CB1">
        <w:rPr>
          <w:sz w:val="20"/>
          <w:szCs w:val="20"/>
        </w:rPr>
        <w:t xml:space="preserve">på gravida </w:t>
      </w:r>
      <w:r w:rsidR="007F4CB1" w:rsidRPr="00FA1B69">
        <w:rPr>
          <w:sz w:val="20"/>
          <w:szCs w:val="20"/>
        </w:rPr>
        <w:t xml:space="preserve">då det ökar risken för </w:t>
      </w:r>
      <w:proofErr w:type="spellStart"/>
      <w:r w:rsidR="007F4CB1" w:rsidRPr="00FA1B69">
        <w:rPr>
          <w:sz w:val="20"/>
          <w:szCs w:val="20"/>
        </w:rPr>
        <w:t>tromboembolier</w:t>
      </w:r>
      <w:proofErr w:type="spellEnd"/>
      <w:r w:rsidR="007F4CB1" w:rsidRPr="00FA1B69">
        <w:rPr>
          <w:sz w:val="20"/>
          <w:szCs w:val="20"/>
        </w:rPr>
        <w:t xml:space="preserve"> och ger vätskeretention</w:t>
      </w:r>
      <w:r w:rsidR="007F4CB1">
        <w:rPr>
          <w:sz w:val="20"/>
          <w:szCs w:val="20"/>
        </w:rPr>
        <w:t xml:space="preserve"> (</w:t>
      </w:r>
      <w:r w:rsidR="008D50AE" w:rsidRPr="008D50AE">
        <w:rPr>
          <w:sz w:val="16"/>
          <w:szCs w:val="16"/>
        </w:rPr>
        <w:t>2</w:t>
      </w:r>
      <w:r w:rsidR="00B911CC">
        <w:rPr>
          <w:sz w:val="16"/>
          <w:szCs w:val="16"/>
        </w:rPr>
        <w:t>4</w:t>
      </w:r>
      <w:r w:rsidR="008D50AE">
        <w:rPr>
          <w:sz w:val="20"/>
          <w:szCs w:val="20"/>
        </w:rPr>
        <w:t>).</w:t>
      </w:r>
    </w:p>
    <w:p w14:paraId="73EE4741" w14:textId="1A75480F" w:rsidR="008D50AE" w:rsidRDefault="00A8156C" w:rsidP="00D75E3D">
      <w:pPr>
        <w:rPr>
          <w:sz w:val="20"/>
          <w:szCs w:val="20"/>
        </w:rPr>
      </w:pPr>
      <w:r w:rsidRPr="00FA1B69">
        <w:rPr>
          <w:sz w:val="20"/>
          <w:szCs w:val="20"/>
        </w:rPr>
        <w:t>I en publikation från</w:t>
      </w:r>
      <w:r w:rsidR="00B920FF" w:rsidRPr="00FA1B69">
        <w:rPr>
          <w:sz w:val="20"/>
          <w:szCs w:val="20"/>
        </w:rPr>
        <w:t xml:space="preserve"> 2019 </w:t>
      </w:r>
      <w:r w:rsidRPr="00FA1B69">
        <w:rPr>
          <w:sz w:val="20"/>
          <w:szCs w:val="20"/>
        </w:rPr>
        <w:t>gav</w:t>
      </w:r>
      <w:r w:rsidR="00B920FF" w:rsidRPr="00FA1B69">
        <w:rPr>
          <w:sz w:val="20"/>
          <w:szCs w:val="20"/>
        </w:rPr>
        <w:t xml:space="preserve"> </w:t>
      </w:r>
      <w:proofErr w:type="spellStart"/>
      <w:r w:rsidR="00DC4676" w:rsidRPr="00FA1B69">
        <w:rPr>
          <w:sz w:val="20"/>
          <w:szCs w:val="20"/>
        </w:rPr>
        <w:t>d</w:t>
      </w:r>
      <w:r w:rsidR="00B920FF" w:rsidRPr="00FA1B69">
        <w:rPr>
          <w:sz w:val="20"/>
          <w:szCs w:val="20"/>
        </w:rPr>
        <w:t>esmopressin</w:t>
      </w:r>
      <w:proofErr w:type="spellEnd"/>
      <w:r w:rsidR="00B920FF" w:rsidRPr="00FA1B69">
        <w:rPr>
          <w:sz w:val="20"/>
          <w:szCs w:val="20"/>
        </w:rPr>
        <w:t xml:space="preserve"> en lägre blödningsrisk </w:t>
      </w:r>
      <w:r w:rsidR="00BD5AAA">
        <w:rPr>
          <w:sz w:val="20"/>
          <w:szCs w:val="20"/>
        </w:rPr>
        <w:t>hos</w:t>
      </w:r>
      <w:r w:rsidR="00B920FF" w:rsidRPr="00FA1B69">
        <w:rPr>
          <w:sz w:val="20"/>
          <w:szCs w:val="20"/>
        </w:rPr>
        <w:t xml:space="preserve"> högriskpatienter</w:t>
      </w:r>
      <w:r w:rsidR="00BD5AAA">
        <w:rPr>
          <w:sz w:val="20"/>
          <w:szCs w:val="20"/>
        </w:rPr>
        <w:t>,</w:t>
      </w:r>
      <w:r w:rsidR="00B920FF" w:rsidRPr="00FA1B69">
        <w:rPr>
          <w:sz w:val="20"/>
          <w:szCs w:val="20"/>
        </w:rPr>
        <w:t xml:space="preserve"> men </w:t>
      </w:r>
      <w:r w:rsidR="008D50AE">
        <w:rPr>
          <w:sz w:val="20"/>
          <w:szCs w:val="20"/>
        </w:rPr>
        <w:t xml:space="preserve">även </w:t>
      </w:r>
      <w:r w:rsidR="00B920FF" w:rsidRPr="00FA1B69">
        <w:rPr>
          <w:sz w:val="20"/>
          <w:szCs w:val="20"/>
        </w:rPr>
        <w:t xml:space="preserve">en högre </w:t>
      </w:r>
      <w:r w:rsidR="008D50AE">
        <w:rPr>
          <w:sz w:val="20"/>
          <w:szCs w:val="20"/>
        </w:rPr>
        <w:t>blödnings</w:t>
      </w:r>
      <w:r w:rsidR="00B920FF" w:rsidRPr="00FA1B69">
        <w:rPr>
          <w:sz w:val="20"/>
          <w:szCs w:val="20"/>
        </w:rPr>
        <w:t>risk i lågriskpatienterna</w:t>
      </w:r>
      <w:r w:rsidR="00BD5AAA">
        <w:rPr>
          <w:sz w:val="20"/>
          <w:szCs w:val="20"/>
        </w:rPr>
        <w:t>. K</w:t>
      </w:r>
      <w:r w:rsidR="00031638">
        <w:rPr>
          <w:sz w:val="20"/>
          <w:szCs w:val="20"/>
        </w:rPr>
        <w:t>ompositutfallet drevs dock av ett</w:t>
      </w:r>
      <w:r w:rsidR="00B920FF" w:rsidRPr="00FA1B69">
        <w:rPr>
          <w:sz w:val="20"/>
          <w:szCs w:val="20"/>
        </w:rPr>
        <w:t xml:space="preserve"> minor event i form av Hb-</w:t>
      </w:r>
      <w:r w:rsidR="00031638">
        <w:rPr>
          <w:sz w:val="20"/>
          <w:szCs w:val="20"/>
        </w:rPr>
        <w:t>sänkning efter ingreppet</w:t>
      </w:r>
      <w:r w:rsidRPr="00FA1B69">
        <w:rPr>
          <w:sz w:val="20"/>
          <w:szCs w:val="20"/>
        </w:rPr>
        <w:t xml:space="preserve"> (</w:t>
      </w:r>
      <w:r w:rsidR="005B7559" w:rsidRPr="005B7559">
        <w:rPr>
          <w:sz w:val="16"/>
          <w:szCs w:val="16"/>
        </w:rPr>
        <w:t>3</w:t>
      </w:r>
      <w:r w:rsidR="00B911CC">
        <w:rPr>
          <w:sz w:val="16"/>
          <w:szCs w:val="16"/>
        </w:rPr>
        <w:t>1</w:t>
      </w:r>
      <w:r w:rsidRPr="00031638">
        <w:rPr>
          <w:sz w:val="20"/>
          <w:szCs w:val="20"/>
        </w:rPr>
        <w:t>)</w:t>
      </w:r>
      <w:r w:rsidR="0051382C" w:rsidRPr="00FA1B69">
        <w:rPr>
          <w:sz w:val="20"/>
          <w:szCs w:val="20"/>
        </w:rPr>
        <w:t xml:space="preserve">. </w:t>
      </w:r>
      <w:r w:rsidRPr="00FA1B69">
        <w:rPr>
          <w:sz w:val="20"/>
          <w:szCs w:val="20"/>
        </w:rPr>
        <w:t>M</w:t>
      </w:r>
      <w:r w:rsidR="00AC2B61" w:rsidRPr="00FA1B69">
        <w:rPr>
          <w:sz w:val="20"/>
          <w:szCs w:val="20"/>
        </w:rPr>
        <w:t>ajoriteten av patienterna kom</w:t>
      </w:r>
      <w:r w:rsidR="00384104">
        <w:rPr>
          <w:sz w:val="20"/>
          <w:szCs w:val="20"/>
        </w:rPr>
        <w:t xml:space="preserve"> </w:t>
      </w:r>
      <w:r w:rsidR="00AC2B61" w:rsidRPr="00FA1B69">
        <w:rPr>
          <w:sz w:val="20"/>
          <w:szCs w:val="20"/>
        </w:rPr>
        <w:t xml:space="preserve">till undersökningen fastande sedan midnatt </w:t>
      </w:r>
      <w:r w:rsidRPr="00FA1B69">
        <w:rPr>
          <w:sz w:val="20"/>
          <w:szCs w:val="20"/>
        </w:rPr>
        <w:t>med förväntad</w:t>
      </w:r>
      <w:r w:rsidR="00AC2B61" w:rsidRPr="00FA1B69">
        <w:rPr>
          <w:sz w:val="20"/>
          <w:szCs w:val="20"/>
        </w:rPr>
        <w:t xml:space="preserve"> mildare </w:t>
      </w:r>
      <w:proofErr w:type="spellStart"/>
      <w:r w:rsidR="00AC2B61" w:rsidRPr="00FA1B69">
        <w:rPr>
          <w:sz w:val="20"/>
          <w:szCs w:val="20"/>
        </w:rPr>
        <w:t>dehydrering</w:t>
      </w:r>
      <w:proofErr w:type="spellEnd"/>
      <w:r w:rsidR="00AC2B61" w:rsidRPr="00FA1B69">
        <w:rPr>
          <w:sz w:val="20"/>
          <w:szCs w:val="20"/>
        </w:rPr>
        <w:t xml:space="preserve">/ </w:t>
      </w:r>
      <w:r w:rsidRPr="00FA1B69">
        <w:rPr>
          <w:sz w:val="20"/>
          <w:szCs w:val="20"/>
        </w:rPr>
        <w:t xml:space="preserve">lättare </w:t>
      </w:r>
      <w:r w:rsidR="00AC2B61" w:rsidRPr="00FA1B69">
        <w:rPr>
          <w:sz w:val="20"/>
          <w:szCs w:val="20"/>
        </w:rPr>
        <w:t>hemokoncentration</w:t>
      </w:r>
      <w:r w:rsidRPr="00FA1B69">
        <w:rPr>
          <w:sz w:val="20"/>
          <w:szCs w:val="20"/>
        </w:rPr>
        <w:t xml:space="preserve"> </w:t>
      </w:r>
      <w:r w:rsidR="00BD5AAA">
        <w:rPr>
          <w:sz w:val="20"/>
          <w:szCs w:val="20"/>
        </w:rPr>
        <w:t>som kan förklara</w:t>
      </w:r>
      <w:r w:rsidR="00AC2B61" w:rsidRPr="00FA1B69">
        <w:rPr>
          <w:sz w:val="20"/>
          <w:szCs w:val="20"/>
        </w:rPr>
        <w:t xml:space="preserve"> det </w:t>
      </w:r>
      <w:proofErr w:type="spellStart"/>
      <w:r w:rsidR="00AC2B61" w:rsidRPr="00FA1B69">
        <w:rPr>
          <w:sz w:val="20"/>
          <w:szCs w:val="20"/>
        </w:rPr>
        <w:t>preproceduriella</w:t>
      </w:r>
      <w:proofErr w:type="spellEnd"/>
      <w:r w:rsidR="00AC2B61" w:rsidRPr="00FA1B69">
        <w:rPr>
          <w:sz w:val="20"/>
          <w:szCs w:val="20"/>
        </w:rPr>
        <w:t xml:space="preserve"> högre Hb </w:t>
      </w:r>
      <w:r w:rsidR="00BD5AAA">
        <w:rPr>
          <w:sz w:val="20"/>
          <w:szCs w:val="20"/>
        </w:rPr>
        <w:t xml:space="preserve">vilket gör att </w:t>
      </w:r>
      <w:r w:rsidR="00AC2B61" w:rsidRPr="00FA1B69">
        <w:rPr>
          <w:sz w:val="20"/>
          <w:szCs w:val="20"/>
        </w:rPr>
        <w:t>evidens</w:t>
      </w:r>
      <w:r w:rsidR="00DC4676" w:rsidRPr="00FA1B69">
        <w:rPr>
          <w:sz w:val="20"/>
          <w:szCs w:val="20"/>
        </w:rPr>
        <w:t>g</w:t>
      </w:r>
      <w:r w:rsidRPr="00FA1B69">
        <w:rPr>
          <w:sz w:val="20"/>
          <w:szCs w:val="20"/>
        </w:rPr>
        <w:t>r</w:t>
      </w:r>
      <w:r w:rsidR="00DC4676" w:rsidRPr="00FA1B69">
        <w:rPr>
          <w:sz w:val="20"/>
          <w:szCs w:val="20"/>
        </w:rPr>
        <w:t>und</w:t>
      </w:r>
      <w:r w:rsidR="00AC2B61" w:rsidRPr="00FA1B69">
        <w:rPr>
          <w:sz w:val="20"/>
          <w:szCs w:val="20"/>
        </w:rPr>
        <w:t xml:space="preserve">en </w:t>
      </w:r>
      <w:r w:rsidR="00DC4676" w:rsidRPr="00FA1B69">
        <w:rPr>
          <w:sz w:val="20"/>
          <w:szCs w:val="20"/>
        </w:rPr>
        <w:t>försvagas</w:t>
      </w:r>
      <w:r w:rsidR="00AC2B61" w:rsidRPr="00FA1B69">
        <w:rPr>
          <w:sz w:val="20"/>
          <w:szCs w:val="20"/>
        </w:rPr>
        <w:t xml:space="preserve">. </w:t>
      </w:r>
    </w:p>
    <w:p w14:paraId="59451F6C" w14:textId="29084B4F" w:rsidR="00EF4D44" w:rsidRPr="00FA1B69" w:rsidRDefault="008D50AE" w:rsidP="00D75E3D">
      <w:pPr>
        <w:rPr>
          <w:sz w:val="20"/>
          <w:szCs w:val="20"/>
        </w:rPr>
      </w:pPr>
      <w:r>
        <w:rPr>
          <w:sz w:val="20"/>
          <w:szCs w:val="20"/>
        </w:rPr>
        <w:t>Efter</w:t>
      </w:r>
      <w:r w:rsidRPr="00FA1B69">
        <w:rPr>
          <w:sz w:val="20"/>
          <w:szCs w:val="20"/>
        </w:rPr>
        <w:t xml:space="preserve"> </w:t>
      </w:r>
      <w:r w:rsidR="007549CE" w:rsidRPr="00FA1B69">
        <w:rPr>
          <w:sz w:val="20"/>
          <w:szCs w:val="20"/>
        </w:rPr>
        <w:t>genomgång av publicerade studier</w:t>
      </w:r>
      <w:r w:rsidR="00875B65" w:rsidRPr="00FA1B69">
        <w:rPr>
          <w:sz w:val="20"/>
          <w:szCs w:val="20"/>
        </w:rPr>
        <w:t xml:space="preserve"> </w:t>
      </w:r>
      <w:r w:rsidR="00031638">
        <w:rPr>
          <w:sz w:val="20"/>
          <w:szCs w:val="20"/>
        </w:rPr>
        <w:t>finne</w:t>
      </w:r>
      <w:r>
        <w:rPr>
          <w:sz w:val="20"/>
          <w:szCs w:val="20"/>
        </w:rPr>
        <w:t>r</w:t>
      </w:r>
      <w:r w:rsidR="00031638">
        <w:rPr>
          <w:sz w:val="20"/>
          <w:szCs w:val="20"/>
        </w:rPr>
        <w:t xml:space="preserve"> </w:t>
      </w:r>
      <w:proofErr w:type="gramStart"/>
      <w:r w:rsidR="00031638">
        <w:rPr>
          <w:sz w:val="20"/>
          <w:szCs w:val="20"/>
        </w:rPr>
        <w:t>SNFs</w:t>
      </w:r>
      <w:proofErr w:type="gramEnd"/>
      <w:r w:rsidR="00031638">
        <w:rPr>
          <w:sz w:val="20"/>
          <w:szCs w:val="20"/>
        </w:rPr>
        <w:t xml:space="preserve"> </w:t>
      </w:r>
      <w:proofErr w:type="spellStart"/>
      <w:r w:rsidR="00031638">
        <w:rPr>
          <w:sz w:val="20"/>
          <w:szCs w:val="20"/>
        </w:rPr>
        <w:t>guidelinesutskott</w:t>
      </w:r>
      <w:proofErr w:type="spellEnd"/>
      <w:r w:rsidR="00031638">
        <w:rPr>
          <w:sz w:val="20"/>
          <w:szCs w:val="20"/>
        </w:rPr>
        <w:t xml:space="preserve"> att </w:t>
      </w:r>
      <w:proofErr w:type="spellStart"/>
      <w:r w:rsidR="00031638">
        <w:rPr>
          <w:sz w:val="20"/>
          <w:szCs w:val="20"/>
        </w:rPr>
        <w:t>evdidens</w:t>
      </w:r>
      <w:proofErr w:type="spellEnd"/>
      <w:r w:rsidR="00031638">
        <w:rPr>
          <w:sz w:val="20"/>
          <w:szCs w:val="20"/>
        </w:rPr>
        <w:t xml:space="preserve"> </w:t>
      </w:r>
      <w:r w:rsidR="00875B65" w:rsidRPr="00FA1B69">
        <w:rPr>
          <w:sz w:val="20"/>
          <w:szCs w:val="20"/>
        </w:rPr>
        <w:t xml:space="preserve">saknas för att </w:t>
      </w:r>
      <w:proofErr w:type="spellStart"/>
      <w:r w:rsidR="00875B65" w:rsidRPr="00FA1B69">
        <w:rPr>
          <w:sz w:val="20"/>
          <w:szCs w:val="20"/>
        </w:rPr>
        <w:t>desmopressin</w:t>
      </w:r>
      <w:proofErr w:type="spellEnd"/>
      <w:r w:rsidR="00875B65" w:rsidRPr="00FA1B69">
        <w:rPr>
          <w:sz w:val="20"/>
          <w:szCs w:val="20"/>
        </w:rPr>
        <w:t xml:space="preserve"> kan förebygga någon form av </w:t>
      </w:r>
      <w:r w:rsidR="005B7559">
        <w:rPr>
          <w:sz w:val="20"/>
          <w:szCs w:val="20"/>
        </w:rPr>
        <w:t xml:space="preserve">allvarligare </w:t>
      </w:r>
      <w:r w:rsidR="00875B65" w:rsidRPr="00FA1B69">
        <w:rPr>
          <w:sz w:val="20"/>
          <w:szCs w:val="20"/>
        </w:rPr>
        <w:t>klinisk komplikation</w:t>
      </w:r>
      <w:r w:rsidR="005B7559">
        <w:rPr>
          <w:sz w:val="20"/>
          <w:szCs w:val="20"/>
        </w:rPr>
        <w:t xml:space="preserve"> efter njurbiopsi</w:t>
      </w:r>
      <w:r>
        <w:rPr>
          <w:sz w:val="20"/>
          <w:szCs w:val="20"/>
        </w:rPr>
        <w:t xml:space="preserve"> </w:t>
      </w:r>
      <w:r w:rsidR="005B7559">
        <w:rPr>
          <w:sz w:val="20"/>
          <w:szCs w:val="20"/>
        </w:rPr>
        <w:t>(</w:t>
      </w:r>
      <w:r w:rsidR="005B7559" w:rsidRPr="005B7559">
        <w:rPr>
          <w:sz w:val="16"/>
          <w:szCs w:val="16"/>
        </w:rPr>
        <w:t>3</w:t>
      </w:r>
      <w:r w:rsidR="00B911CC">
        <w:rPr>
          <w:sz w:val="16"/>
          <w:szCs w:val="16"/>
        </w:rPr>
        <w:t>2</w:t>
      </w:r>
      <w:r w:rsidR="005B7559">
        <w:rPr>
          <w:sz w:val="20"/>
          <w:szCs w:val="20"/>
        </w:rPr>
        <w:t>).</w:t>
      </w:r>
    </w:p>
    <w:p w14:paraId="1361D390" w14:textId="0BC5BC2C" w:rsidR="00C568F3" w:rsidRPr="00FA1B69" w:rsidRDefault="00C568F3" w:rsidP="00D75E3D">
      <w:pPr>
        <w:rPr>
          <w:sz w:val="20"/>
          <w:szCs w:val="20"/>
        </w:rPr>
      </w:pPr>
    </w:p>
    <w:p w14:paraId="530FA31B" w14:textId="48ACC57A" w:rsidR="00F216F3" w:rsidRPr="00262B49" w:rsidRDefault="00F216F3" w:rsidP="00F216F3">
      <w:pPr>
        <w:rPr>
          <w:b/>
          <w:bCs/>
          <w:sz w:val="20"/>
          <w:szCs w:val="20"/>
        </w:rPr>
      </w:pPr>
      <w:r w:rsidRPr="00262B49">
        <w:rPr>
          <w:b/>
          <w:bCs/>
          <w:sz w:val="20"/>
          <w:szCs w:val="20"/>
        </w:rPr>
        <w:t>Hantering av antikoagulantia på icke akut biopsi</w:t>
      </w:r>
    </w:p>
    <w:p w14:paraId="1460D3F9" w14:textId="1019E424" w:rsidR="0087088B" w:rsidRDefault="002A0636" w:rsidP="00F216F3">
      <w:pPr>
        <w:rPr>
          <w:sz w:val="20"/>
          <w:szCs w:val="20"/>
        </w:rPr>
      </w:pPr>
      <w:r w:rsidRPr="00262B49">
        <w:rPr>
          <w:sz w:val="20"/>
          <w:szCs w:val="20"/>
        </w:rPr>
        <w:t>Många</w:t>
      </w:r>
      <w:r w:rsidR="009F0DCE" w:rsidRPr="00262B49">
        <w:rPr>
          <w:sz w:val="20"/>
          <w:szCs w:val="20"/>
        </w:rPr>
        <w:t xml:space="preserve"> </w:t>
      </w:r>
      <w:r w:rsidRPr="00262B49">
        <w:rPr>
          <w:sz w:val="20"/>
          <w:szCs w:val="20"/>
        </w:rPr>
        <w:t>sjukhus</w:t>
      </w:r>
      <w:r w:rsidR="009F0DCE" w:rsidRPr="00262B49">
        <w:rPr>
          <w:sz w:val="20"/>
          <w:szCs w:val="20"/>
        </w:rPr>
        <w:t xml:space="preserve"> har tagit fram rekommendationer med tabeller för hur många dagar olika typer av antikoagulantia bör </w:t>
      </w:r>
      <w:proofErr w:type="spellStart"/>
      <w:r w:rsidR="009F0DCE" w:rsidRPr="00262B49">
        <w:rPr>
          <w:sz w:val="20"/>
          <w:szCs w:val="20"/>
        </w:rPr>
        <w:t>seponeras</w:t>
      </w:r>
      <w:proofErr w:type="spellEnd"/>
      <w:r w:rsidR="009F0DCE" w:rsidRPr="00262B49">
        <w:rPr>
          <w:sz w:val="20"/>
          <w:szCs w:val="20"/>
        </w:rPr>
        <w:t xml:space="preserve"> inför </w:t>
      </w:r>
      <w:proofErr w:type="spellStart"/>
      <w:r w:rsidR="009F0DCE" w:rsidRPr="00262B49">
        <w:rPr>
          <w:sz w:val="20"/>
          <w:szCs w:val="20"/>
        </w:rPr>
        <w:t>invasiva</w:t>
      </w:r>
      <w:proofErr w:type="spellEnd"/>
      <w:r w:rsidR="009F0DCE" w:rsidRPr="00262B49">
        <w:rPr>
          <w:sz w:val="20"/>
          <w:szCs w:val="20"/>
        </w:rPr>
        <w:t xml:space="preserve"> ingrepp</w:t>
      </w:r>
      <w:r w:rsidR="005B7559" w:rsidRPr="00262B49">
        <w:rPr>
          <w:sz w:val="20"/>
          <w:szCs w:val="20"/>
        </w:rPr>
        <w:t xml:space="preserve"> (</w:t>
      </w:r>
      <w:proofErr w:type="gramStart"/>
      <w:r w:rsidR="005B7559" w:rsidRPr="006A4DF6">
        <w:rPr>
          <w:sz w:val="16"/>
          <w:szCs w:val="16"/>
        </w:rPr>
        <w:t>33</w:t>
      </w:r>
      <w:r w:rsidR="00B911CC" w:rsidRPr="006A4DF6">
        <w:rPr>
          <w:sz w:val="16"/>
          <w:szCs w:val="16"/>
        </w:rPr>
        <w:t>-</w:t>
      </w:r>
      <w:r w:rsidR="005B7559" w:rsidRPr="006A4DF6">
        <w:rPr>
          <w:sz w:val="16"/>
          <w:szCs w:val="16"/>
        </w:rPr>
        <w:t>3</w:t>
      </w:r>
      <w:r w:rsidR="00B911CC" w:rsidRPr="006A4DF6">
        <w:rPr>
          <w:sz w:val="16"/>
          <w:szCs w:val="16"/>
        </w:rPr>
        <w:t>4</w:t>
      </w:r>
      <w:proofErr w:type="gramEnd"/>
      <w:r w:rsidR="005B7559" w:rsidRPr="00262B49">
        <w:rPr>
          <w:sz w:val="20"/>
          <w:szCs w:val="20"/>
        </w:rPr>
        <w:t>)</w:t>
      </w:r>
      <w:r w:rsidR="006451CB" w:rsidRPr="00262B49">
        <w:rPr>
          <w:sz w:val="20"/>
          <w:szCs w:val="20"/>
        </w:rPr>
        <w:t>.</w:t>
      </w:r>
      <w:r w:rsidR="009F0DCE" w:rsidRPr="00262B49">
        <w:rPr>
          <w:sz w:val="20"/>
          <w:szCs w:val="20"/>
        </w:rPr>
        <w:t xml:space="preserve"> Problemet med njurbiopsier är att de ofta listas under högriskingrepp</w:t>
      </w:r>
      <w:r w:rsidR="00BD5AAA">
        <w:rPr>
          <w:sz w:val="20"/>
          <w:szCs w:val="20"/>
        </w:rPr>
        <w:t>,</w:t>
      </w:r>
      <w:r w:rsidR="009F0DCE" w:rsidRPr="00262B49">
        <w:rPr>
          <w:sz w:val="20"/>
          <w:szCs w:val="20"/>
        </w:rPr>
        <w:t xml:space="preserve"> trots att erfarenhet och evidens snarare kategoriserar de</w:t>
      </w:r>
      <w:r w:rsidR="00AD0146" w:rsidRPr="00262B49">
        <w:rPr>
          <w:sz w:val="20"/>
          <w:szCs w:val="20"/>
        </w:rPr>
        <w:t>m</w:t>
      </w:r>
      <w:r w:rsidR="009F0DCE" w:rsidRPr="00262B49">
        <w:rPr>
          <w:sz w:val="20"/>
          <w:szCs w:val="20"/>
        </w:rPr>
        <w:t xml:space="preserve"> som </w:t>
      </w:r>
      <w:r w:rsidR="003A18DE" w:rsidRPr="00262B49">
        <w:rPr>
          <w:sz w:val="20"/>
          <w:szCs w:val="20"/>
        </w:rPr>
        <w:t xml:space="preserve">en </w:t>
      </w:r>
      <w:r w:rsidR="009F0DCE" w:rsidRPr="00262B49">
        <w:rPr>
          <w:sz w:val="20"/>
          <w:szCs w:val="20"/>
        </w:rPr>
        <w:t>låg</w:t>
      </w:r>
      <w:r w:rsidR="003A18DE" w:rsidRPr="00262B49">
        <w:rPr>
          <w:sz w:val="20"/>
          <w:szCs w:val="20"/>
        </w:rPr>
        <w:t xml:space="preserve"> till medel</w:t>
      </w:r>
      <w:r w:rsidR="009F0DCE" w:rsidRPr="00262B49">
        <w:rPr>
          <w:sz w:val="20"/>
          <w:szCs w:val="20"/>
        </w:rPr>
        <w:t xml:space="preserve">riskintervention. </w:t>
      </w:r>
      <w:r w:rsidR="008D50AE">
        <w:rPr>
          <w:sz w:val="20"/>
          <w:szCs w:val="20"/>
        </w:rPr>
        <w:t>Ur</w:t>
      </w:r>
      <w:r w:rsidR="009F0DCE" w:rsidRPr="00262B49">
        <w:rPr>
          <w:sz w:val="20"/>
          <w:szCs w:val="20"/>
        </w:rPr>
        <w:t xml:space="preserve"> </w:t>
      </w:r>
      <w:r w:rsidR="008D50AE" w:rsidRPr="00262B49">
        <w:rPr>
          <w:sz w:val="20"/>
          <w:szCs w:val="20"/>
        </w:rPr>
        <w:t>n</w:t>
      </w:r>
      <w:r w:rsidR="008D50AE">
        <w:rPr>
          <w:sz w:val="20"/>
          <w:szCs w:val="20"/>
        </w:rPr>
        <w:t>jurmedicinsk</w:t>
      </w:r>
      <w:r w:rsidR="008D50AE" w:rsidRPr="00262B49">
        <w:rPr>
          <w:sz w:val="20"/>
          <w:szCs w:val="20"/>
        </w:rPr>
        <w:t xml:space="preserve"> </w:t>
      </w:r>
      <w:r w:rsidR="009F0DCE" w:rsidRPr="00262B49">
        <w:rPr>
          <w:sz w:val="20"/>
          <w:szCs w:val="20"/>
        </w:rPr>
        <w:t xml:space="preserve">synvinkel </w:t>
      </w:r>
      <w:r w:rsidR="008D50AE">
        <w:rPr>
          <w:sz w:val="20"/>
          <w:szCs w:val="20"/>
        </w:rPr>
        <w:t>bör</w:t>
      </w:r>
      <w:r w:rsidR="008D50AE" w:rsidRPr="00262B49">
        <w:rPr>
          <w:sz w:val="20"/>
          <w:szCs w:val="20"/>
        </w:rPr>
        <w:t xml:space="preserve"> kommun</w:t>
      </w:r>
      <w:r w:rsidR="008D50AE">
        <w:rPr>
          <w:sz w:val="20"/>
          <w:szCs w:val="20"/>
        </w:rPr>
        <w:t>ikation ske avseende</w:t>
      </w:r>
      <w:r w:rsidR="008D50AE" w:rsidRPr="00262B49">
        <w:rPr>
          <w:sz w:val="20"/>
          <w:szCs w:val="20"/>
        </w:rPr>
        <w:t xml:space="preserve"> </w:t>
      </w:r>
      <w:r w:rsidR="008D50AE">
        <w:rPr>
          <w:sz w:val="20"/>
          <w:szCs w:val="20"/>
        </w:rPr>
        <w:t xml:space="preserve">hantering av </w:t>
      </w:r>
      <w:proofErr w:type="spellStart"/>
      <w:r w:rsidR="008D50AE">
        <w:rPr>
          <w:sz w:val="20"/>
          <w:szCs w:val="20"/>
        </w:rPr>
        <w:t>antikoagualantia</w:t>
      </w:r>
      <w:proofErr w:type="spellEnd"/>
      <w:r w:rsidR="008D50AE">
        <w:rPr>
          <w:sz w:val="20"/>
          <w:szCs w:val="20"/>
        </w:rPr>
        <w:t xml:space="preserve"> vid njurbiopsi mellan</w:t>
      </w:r>
      <w:r w:rsidR="009F0DCE" w:rsidRPr="00262B49">
        <w:rPr>
          <w:sz w:val="20"/>
          <w:szCs w:val="20"/>
        </w:rPr>
        <w:t xml:space="preserve"> beställande enhet </w:t>
      </w:r>
      <w:r w:rsidR="008D50AE">
        <w:rPr>
          <w:sz w:val="20"/>
          <w:szCs w:val="20"/>
        </w:rPr>
        <w:t xml:space="preserve">och utförare </w:t>
      </w:r>
      <w:r w:rsidR="009F0DCE" w:rsidRPr="00262B49">
        <w:rPr>
          <w:sz w:val="20"/>
          <w:szCs w:val="20"/>
        </w:rPr>
        <w:t>och inga kategoriska utsättningskrav gälla.</w:t>
      </w:r>
    </w:p>
    <w:p w14:paraId="747C126C" w14:textId="77777777" w:rsidR="0087088B" w:rsidRPr="00297132" w:rsidRDefault="0087088B" w:rsidP="0087088B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När det gäller</w:t>
      </w:r>
      <w:r w:rsidRPr="00297132">
        <w:rPr>
          <w:sz w:val="20"/>
          <w:szCs w:val="20"/>
        </w:rPr>
        <w:t xml:space="preserve"> eventuell profylaxdos eller överbryggningsterapi ges </w:t>
      </w:r>
      <w:r>
        <w:rPr>
          <w:sz w:val="20"/>
          <w:szCs w:val="20"/>
        </w:rPr>
        <w:t>lågmolekylärt heparin</w:t>
      </w:r>
      <w:r w:rsidRPr="00297132">
        <w:rPr>
          <w:sz w:val="20"/>
          <w:szCs w:val="20"/>
        </w:rPr>
        <w:t xml:space="preserve"> enbart</w:t>
      </w:r>
      <w:r w:rsidRPr="00297132">
        <w:rPr>
          <w:b/>
          <w:bCs/>
          <w:sz w:val="20"/>
          <w:szCs w:val="20"/>
        </w:rPr>
        <w:t xml:space="preserve"> </w:t>
      </w:r>
      <w:r w:rsidRPr="00297132">
        <w:rPr>
          <w:sz w:val="20"/>
          <w:szCs w:val="20"/>
        </w:rPr>
        <w:t xml:space="preserve">om högrisk för </w:t>
      </w:r>
      <w:proofErr w:type="spellStart"/>
      <w:r>
        <w:rPr>
          <w:sz w:val="20"/>
          <w:szCs w:val="20"/>
        </w:rPr>
        <w:t>tromboembolism</w:t>
      </w:r>
      <w:proofErr w:type="spellEnd"/>
      <w:r w:rsidRPr="00297132">
        <w:rPr>
          <w:sz w:val="20"/>
          <w:szCs w:val="20"/>
        </w:rPr>
        <w:t xml:space="preserve"> föreligger (mekanisk klaff, trippelpositiv APS, Chads </w:t>
      </w:r>
      <w:proofErr w:type="spellStart"/>
      <w:proofErr w:type="gramStart"/>
      <w:r w:rsidRPr="00297132">
        <w:rPr>
          <w:sz w:val="20"/>
          <w:szCs w:val="20"/>
        </w:rPr>
        <w:t>Vasc</w:t>
      </w:r>
      <w:proofErr w:type="spellEnd"/>
      <w:r w:rsidRPr="00297132">
        <w:rPr>
          <w:sz w:val="20"/>
          <w:szCs w:val="20"/>
        </w:rPr>
        <w:t xml:space="preserve"> &gt;</w:t>
      </w:r>
      <w:proofErr w:type="gramEnd"/>
      <w:r w:rsidRPr="00297132">
        <w:rPr>
          <w:sz w:val="20"/>
          <w:szCs w:val="20"/>
        </w:rPr>
        <w:t xml:space="preserve"> 6 eller venös trombos inom en månad före ingreppet). </w:t>
      </w:r>
      <w:r w:rsidRPr="00297132">
        <w:rPr>
          <w:rFonts w:eastAsia="Times New Roman"/>
          <w:sz w:val="20"/>
          <w:szCs w:val="20"/>
        </w:rPr>
        <w:t>Vad gäller arteriell trombos hänvisas till kardiolog eller neurolog för individuellt ställningstagande.</w:t>
      </w:r>
    </w:p>
    <w:p w14:paraId="56DBAB0D" w14:textId="77777777" w:rsidR="0087088B" w:rsidRPr="00FA1B69" w:rsidRDefault="0087088B" w:rsidP="0087088B">
      <w:pPr>
        <w:spacing w:line="216" w:lineRule="auto"/>
        <w:contextualSpacing/>
        <w:rPr>
          <w:rFonts w:ascii="Times New Roman" w:eastAsia="Times New Roman" w:hAnsi="Times New Roman" w:cs="Times New Roman"/>
          <w:sz w:val="20"/>
          <w:szCs w:val="18"/>
          <w:lang w:eastAsia="sv-SE"/>
        </w:rPr>
      </w:pPr>
      <w:r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sv-SE"/>
          <w14:textFill>
            <w14:solidFill>
              <w14:schemeClr w14:val="tx1">
                <w14:alpha w14:val="20000"/>
              </w14:schemeClr>
            </w14:solidFill>
          </w14:textFill>
        </w:rPr>
        <w:t>Det är viktigt att lägga</w:t>
      </w:r>
      <w:r w:rsidRPr="00297132"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sv-SE"/>
          <w14:textFill>
            <w14:solidFill>
              <w14:schemeClr w14:val="tx1">
                <w14:alpha w14:val="20000"/>
              </w14:schemeClr>
            </w14:solidFill>
          </w14:textFill>
        </w:rPr>
        <w:t xml:space="preserve"> upp en tydlig plan för att återinsätta</w:t>
      </w:r>
      <w:r w:rsidRPr="00297132">
        <w:rPr>
          <w:rFonts w:ascii="Calibri" w:eastAsia="Calibri" w:hAnsi="Calibri" w:cs="Times New Roman"/>
          <w:b/>
          <w:bCs/>
          <w:color w:val="000000" w:themeColor="text1"/>
          <w:kern w:val="24"/>
          <w:sz w:val="20"/>
          <w:szCs w:val="20"/>
          <w:lang w:eastAsia="sv-SE"/>
          <w14:textFill>
            <w14:solidFill>
              <w14:schemeClr w14:val="tx1">
                <w14:alpha w14:val="20000"/>
              </w14:schemeClr>
            </w14:solidFill>
          </w14:textFill>
        </w:rPr>
        <w:t xml:space="preserve"> </w:t>
      </w:r>
      <w:r w:rsidRPr="00297132"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sv-SE"/>
          <w14:textFill>
            <w14:solidFill>
              <w14:schemeClr w14:val="tx1">
                <w14:alpha w14:val="20000"/>
              </w14:schemeClr>
            </w14:solidFill>
          </w14:textFill>
        </w:rPr>
        <w:t xml:space="preserve">antikoagulantia </w:t>
      </w:r>
      <w:proofErr w:type="gramStart"/>
      <w:r w:rsidRPr="00297132"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sv-SE"/>
          <w14:textFill>
            <w14:solidFill>
              <w14:schemeClr w14:val="tx1">
                <w14:alpha w14:val="20000"/>
              </w14:schemeClr>
            </w14:solidFill>
          </w14:textFill>
        </w:rPr>
        <w:t>12-48</w:t>
      </w:r>
      <w:proofErr w:type="gramEnd"/>
      <w:r w:rsidRPr="00297132">
        <w:rPr>
          <w:rFonts w:ascii="Calibri" w:eastAsia="Calibri" w:hAnsi="Calibri" w:cs="Times New Roman"/>
          <w:color w:val="000000" w:themeColor="text1"/>
          <w:kern w:val="24"/>
          <w:sz w:val="20"/>
          <w:szCs w:val="20"/>
          <w:lang w:eastAsia="sv-SE"/>
          <w14:textFill>
            <w14:solidFill>
              <w14:schemeClr w14:val="tx1">
                <w14:alpha w14:val="20000"/>
              </w14:schemeClr>
            </w14:solidFill>
          </w14:textFill>
        </w:rPr>
        <w:t xml:space="preserve"> timmar efter biopsin hos patienter med indikation för fortsatt blodförtunnande behandling.</w:t>
      </w:r>
    </w:p>
    <w:p w14:paraId="195C1ACC" w14:textId="5BA2ECBC" w:rsidR="00A23937" w:rsidRPr="00262B49" w:rsidRDefault="009F0DCE" w:rsidP="00F216F3">
      <w:pPr>
        <w:rPr>
          <w:sz w:val="20"/>
          <w:szCs w:val="20"/>
        </w:rPr>
      </w:pPr>
      <w:r w:rsidRPr="00262B49">
        <w:rPr>
          <w:sz w:val="20"/>
          <w:szCs w:val="20"/>
        </w:rPr>
        <w:t xml:space="preserve"> </w:t>
      </w:r>
    </w:p>
    <w:p w14:paraId="2720C7D7" w14:textId="5B04F801" w:rsidR="009F0DCE" w:rsidRPr="00254F0C" w:rsidRDefault="009F0DCE" w:rsidP="00F216F3">
      <w:pPr>
        <w:rPr>
          <w:sz w:val="20"/>
          <w:szCs w:val="20"/>
        </w:rPr>
      </w:pPr>
      <w:r w:rsidRPr="00254F0C">
        <w:rPr>
          <w:sz w:val="20"/>
          <w:szCs w:val="20"/>
        </w:rPr>
        <w:t xml:space="preserve">Nedan följer en sammanställning av råd </w:t>
      </w:r>
      <w:r w:rsidR="00A23937" w:rsidRPr="00254F0C">
        <w:rPr>
          <w:sz w:val="20"/>
          <w:szCs w:val="20"/>
        </w:rPr>
        <w:t xml:space="preserve">som </w:t>
      </w:r>
      <w:proofErr w:type="gramStart"/>
      <w:r w:rsidR="00FA1B69" w:rsidRPr="00254F0C">
        <w:rPr>
          <w:sz w:val="20"/>
          <w:szCs w:val="20"/>
        </w:rPr>
        <w:t>SNFs</w:t>
      </w:r>
      <w:proofErr w:type="gramEnd"/>
      <w:r w:rsidR="00FA1B69" w:rsidRPr="00254F0C">
        <w:rPr>
          <w:sz w:val="20"/>
          <w:szCs w:val="20"/>
        </w:rPr>
        <w:t xml:space="preserve"> </w:t>
      </w:r>
      <w:proofErr w:type="spellStart"/>
      <w:r w:rsidR="00FA1B69" w:rsidRPr="00254F0C">
        <w:rPr>
          <w:sz w:val="20"/>
          <w:szCs w:val="20"/>
        </w:rPr>
        <w:t>guidelinesutskott</w:t>
      </w:r>
      <w:proofErr w:type="spellEnd"/>
      <w:r w:rsidR="00FA1B69" w:rsidRPr="00254F0C">
        <w:rPr>
          <w:sz w:val="20"/>
          <w:szCs w:val="20"/>
        </w:rPr>
        <w:t xml:space="preserve"> </w:t>
      </w:r>
      <w:r w:rsidRPr="00254F0C">
        <w:rPr>
          <w:sz w:val="20"/>
          <w:szCs w:val="20"/>
        </w:rPr>
        <w:t xml:space="preserve">funnit vara nationellt generaliserbara vad gäller </w:t>
      </w:r>
      <w:r w:rsidR="003A18DE" w:rsidRPr="00254F0C">
        <w:rPr>
          <w:sz w:val="20"/>
          <w:szCs w:val="20"/>
        </w:rPr>
        <w:t xml:space="preserve">AK-hantering inför </w:t>
      </w:r>
      <w:r w:rsidR="00AD0146" w:rsidRPr="00254F0C">
        <w:rPr>
          <w:b/>
          <w:bCs/>
          <w:sz w:val="20"/>
          <w:szCs w:val="20"/>
        </w:rPr>
        <w:t>icke akut</w:t>
      </w:r>
      <w:r w:rsidR="00AD0146" w:rsidRPr="00254F0C">
        <w:rPr>
          <w:sz w:val="20"/>
          <w:szCs w:val="20"/>
        </w:rPr>
        <w:t xml:space="preserve"> </w:t>
      </w:r>
      <w:r w:rsidR="003A18DE" w:rsidRPr="00254F0C">
        <w:rPr>
          <w:sz w:val="20"/>
          <w:szCs w:val="20"/>
        </w:rPr>
        <w:t>njurbiopsi</w:t>
      </w:r>
      <w:r w:rsidRPr="00254F0C">
        <w:rPr>
          <w:sz w:val="20"/>
          <w:szCs w:val="20"/>
        </w:rPr>
        <w:t>.</w:t>
      </w:r>
    </w:p>
    <w:p w14:paraId="19F11F7F" w14:textId="24ED6A18" w:rsidR="00F216F3" w:rsidRPr="00262B49" w:rsidRDefault="00F216F3" w:rsidP="00F216F3">
      <w:pPr>
        <w:rPr>
          <w:sz w:val="20"/>
          <w:szCs w:val="20"/>
          <w:highlight w:val="lightGray"/>
        </w:rPr>
      </w:pPr>
      <w:proofErr w:type="spellStart"/>
      <w:r w:rsidRPr="00262B49">
        <w:rPr>
          <w:sz w:val="20"/>
          <w:szCs w:val="20"/>
          <w:highlight w:val="lightGray"/>
        </w:rPr>
        <w:t>Waran</w:t>
      </w:r>
      <w:proofErr w:type="spellEnd"/>
      <w:r w:rsidRPr="00262B49">
        <w:rPr>
          <w:sz w:val="20"/>
          <w:szCs w:val="20"/>
          <w:highlight w:val="lightGray"/>
        </w:rPr>
        <w:t xml:space="preserve"> sätts ut minst 4 dagar innan provtagning inför biopsi (PK &lt;</w:t>
      </w:r>
      <w:r w:rsidR="00875B65" w:rsidRPr="00262B49">
        <w:rPr>
          <w:sz w:val="20"/>
          <w:szCs w:val="20"/>
          <w:highlight w:val="lightGray"/>
        </w:rPr>
        <w:t>1,4</w:t>
      </w:r>
      <w:r w:rsidRPr="00262B49">
        <w:rPr>
          <w:sz w:val="20"/>
          <w:szCs w:val="20"/>
          <w:highlight w:val="lightGray"/>
        </w:rPr>
        <w:t>)</w:t>
      </w:r>
    </w:p>
    <w:p w14:paraId="52521910" w14:textId="3CDBD9DD" w:rsidR="00F216F3" w:rsidRPr="00262B49" w:rsidRDefault="00F216F3" w:rsidP="00F216F3">
      <w:pPr>
        <w:rPr>
          <w:sz w:val="20"/>
          <w:szCs w:val="20"/>
          <w:highlight w:val="lightGray"/>
        </w:rPr>
      </w:pPr>
      <w:r w:rsidRPr="00262B49">
        <w:rPr>
          <w:sz w:val="20"/>
          <w:szCs w:val="20"/>
          <w:highlight w:val="lightGray"/>
        </w:rPr>
        <w:t xml:space="preserve">LMWH sätts ut </w:t>
      </w:r>
      <w:r w:rsidR="00875B65" w:rsidRPr="00262B49">
        <w:rPr>
          <w:sz w:val="20"/>
          <w:szCs w:val="20"/>
          <w:highlight w:val="lightGray"/>
        </w:rPr>
        <w:t>12</w:t>
      </w:r>
      <w:r w:rsidR="006A4DF6">
        <w:rPr>
          <w:sz w:val="20"/>
          <w:szCs w:val="20"/>
          <w:highlight w:val="lightGray"/>
        </w:rPr>
        <w:t xml:space="preserve"> timmar </w:t>
      </w:r>
      <w:proofErr w:type="gramStart"/>
      <w:r w:rsidR="006A4DF6">
        <w:rPr>
          <w:sz w:val="20"/>
          <w:szCs w:val="20"/>
          <w:highlight w:val="lightGray"/>
        </w:rPr>
        <w:t>( vid</w:t>
      </w:r>
      <w:proofErr w:type="gramEnd"/>
      <w:r w:rsidR="006A4DF6">
        <w:rPr>
          <w:sz w:val="20"/>
          <w:szCs w:val="20"/>
          <w:highlight w:val="lightGray"/>
        </w:rPr>
        <w:t xml:space="preserve"> profylaxdos) </w:t>
      </w:r>
      <w:r w:rsidR="00875B65" w:rsidRPr="00262B49">
        <w:rPr>
          <w:sz w:val="20"/>
          <w:szCs w:val="20"/>
          <w:highlight w:val="lightGray"/>
        </w:rPr>
        <w:t>-</w:t>
      </w:r>
      <w:r w:rsidRPr="00262B49">
        <w:rPr>
          <w:sz w:val="20"/>
          <w:szCs w:val="20"/>
          <w:highlight w:val="lightGray"/>
        </w:rPr>
        <w:t>24 tim</w:t>
      </w:r>
      <w:r w:rsidR="006A4DF6">
        <w:rPr>
          <w:sz w:val="20"/>
          <w:szCs w:val="20"/>
          <w:highlight w:val="lightGray"/>
        </w:rPr>
        <w:t>mar ( vid behandlingsdos)</w:t>
      </w:r>
      <w:r w:rsidRPr="00262B49">
        <w:rPr>
          <w:sz w:val="20"/>
          <w:szCs w:val="20"/>
          <w:highlight w:val="lightGray"/>
        </w:rPr>
        <w:t xml:space="preserve"> innan biopsin</w:t>
      </w:r>
      <w:r w:rsidR="006A4DF6">
        <w:rPr>
          <w:sz w:val="20"/>
          <w:szCs w:val="20"/>
          <w:highlight w:val="lightGray"/>
        </w:rPr>
        <w:t>.</w:t>
      </w:r>
    </w:p>
    <w:p w14:paraId="3298510E" w14:textId="51E83333" w:rsidR="00F216F3" w:rsidRPr="00262B49" w:rsidRDefault="00F216F3" w:rsidP="00F216F3">
      <w:pPr>
        <w:rPr>
          <w:sz w:val="20"/>
          <w:szCs w:val="20"/>
          <w:highlight w:val="lightGray"/>
        </w:rPr>
      </w:pPr>
      <w:proofErr w:type="spellStart"/>
      <w:r w:rsidRPr="00262B49">
        <w:rPr>
          <w:sz w:val="20"/>
          <w:szCs w:val="20"/>
          <w:highlight w:val="lightGray"/>
        </w:rPr>
        <w:t>Plavix</w:t>
      </w:r>
      <w:proofErr w:type="spellEnd"/>
      <w:r w:rsidR="00297132">
        <w:rPr>
          <w:sz w:val="20"/>
          <w:szCs w:val="20"/>
          <w:highlight w:val="lightGray"/>
        </w:rPr>
        <w:t xml:space="preserve"> -</w:t>
      </w:r>
      <w:r w:rsidRPr="00262B49">
        <w:rPr>
          <w:sz w:val="20"/>
          <w:szCs w:val="20"/>
          <w:highlight w:val="lightGray"/>
        </w:rPr>
        <w:t xml:space="preserve"> </w:t>
      </w:r>
      <w:r w:rsidR="00875B65" w:rsidRPr="00262B49">
        <w:rPr>
          <w:sz w:val="20"/>
          <w:szCs w:val="20"/>
          <w:highlight w:val="lightGray"/>
        </w:rPr>
        <w:t>5-</w:t>
      </w:r>
      <w:r w:rsidRPr="00262B49">
        <w:rPr>
          <w:sz w:val="20"/>
          <w:szCs w:val="20"/>
          <w:highlight w:val="lightGray"/>
        </w:rPr>
        <w:t>7 dagar</w:t>
      </w:r>
    </w:p>
    <w:p w14:paraId="186A628D" w14:textId="2CE0B36B" w:rsidR="00F216F3" w:rsidRPr="00262B49" w:rsidRDefault="00F216F3" w:rsidP="00F216F3">
      <w:pPr>
        <w:rPr>
          <w:sz w:val="20"/>
          <w:szCs w:val="20"/>
          <w:highlight w:val="lightGray"/>
        </w:rPr>
      </w:pPr>
      <w:proofErr w:type="spellStart"/>
      <w:r w:rsidRPr="00262B49">
        <w:rPr>
          <w:sz w:val="20"/>
          <w:szCs w:val="20"/>
          <w:highlight w:val="lightGray"/>
        </w:rPr>
        <w:lastRenderedPageBreak/>
        <w:t>Trombyl</w:t>
      </w:r>
      <w:proofErr w:type="spellEnd"/>
      <w:r w:rsidRPr="00262B49">
        <w:rPr>
          <w:sz w:val="20"/>
          <w:szCs w:val="20"/>
          <w:highlight w:val="lightGray"/>
        </w:rPr>
        <w:t xml:space="preserve"> </w:t>
      </w:r>
      <w:proofErr w:type="gramStart"/>
      <w:r w:rsidR="00E06331" w:rsidRPr="00262B49">
        <w:rPr>
          <w:sz w:val="20"/>
          <w:szCs w:val="20"/>
          <w:highlight w:val="lightGray"/>
        </w:rPr>
        <w:t>1</w:t>
      </w:r>
      <w:r w:rsidRPr="00262B49">
        <w:rPr>
          <w:sz w:val="20"/>
          <w:szCs w:val="20"/>
          <w:highlight w:val="lightGray"/>
        </w:rPr>
        <w:t>-5</w:t>
      </w:r>
      <w:proofErr w:type="gramEnd"/>
      <w:r w:rsidRPr="00262B49">
        <w:rPr>
          <w:sz w:val="20"/>
          <w:szCs w:val="20"/>
          <w:highlight w:val="lightGray"/>
        </w:rPr>
        <w:t xml:space="preserve"> dagar – (</w:t>
      </w:r>
      <w:r w:rsidR="00E14D8A" w:rsidRPr="00262B49">
        <w:rPr>
          <w:sz w:val="20"/>
          <w:szCs w:val="20"/>
          <w:highlight w:val="lightGray"/>
        </w:rPr>
        <w:t xml:space="preserve">OBS! </w:t>
      </w:r>
      <w:r w:rsidRPr="00262B49">
        <w:rPr>
          <w:sz w:val="20"/>
          <w:szCs w:val="20"/>
          <w:highlight w:val="lightGray"/>
        </w:rPr>
        <w:t xml:space="preserve">individuell bedömning om </w:t>
      </w:r>
      <w:r w:rsidR="00E14D8A" w:rsidRPr="00262B49">
        <w:rPr>
          <w:sz w:val="20"/>
          <w:szCs w:val="20"/>
          <w:highlight w:val="lightGray"/>
        </w:rPr>
        <w:t xml:space="preserve">ASA </w:t>
      </w:r>
      <w:r w:rsidR="006878A9" w:rsidRPr="00262B49">
        <w:rPr>
          <w:sz w:val="20"/>
          <w:szCs w:val="20"/>
          <w:highlight w:val="lightGray"/>
        </w:rPr>
        <w:t xml:space="preserve">över huvud taget skall </w:t>
      </w:r>
      <w:proofErr w:type="spellStart"/>
      <w:r w:rsidR="006878A9" w:rsidRPr="00262B49">
        <w:rPr>
          <w:sz w:val="20"/>
          <w:szCs w:val="20"/>
          <w:highlight w:val="lightGray"/>
        </w:rPr>
        <w:t>seponeras</w:t>
      </w:r>
      <w:proofErr w:type="spellEnd"/>
      <w:r w:rsidR="006878A9" w:rsidRPr="00262B49">
        <w:rPr>
          <w:sz w:val="20"/>
          <w:szCs w:val="20"/>
          <w:highlight w:val="lightGray"/>
        </w:rPr>
        <w:t xml:space="preserve"> vid </w:t>
      </w:r>
      <w:r w:rsidR="00E14D8A" w:rsidRPr="00262B49">
        <w:rPr>
          <w:sz w:val="20"/>
          <w:szCs w:val="20"/>
          <w:highlight w:val="lightGray"/>
        </w:rPr>
        <w:t>högriskpatient</w:t>
      </w:r>
      <w:r w:rsidR="00297132">
        <w:rPr>
          <w:sz w:val="20"/>
          <w:szCs w:val="20"/>
          <w:highlight w:val="lightGray"/>
        </w:rPr>
        <w:t>)</w:t>
      </w:r>
      <w:r w:rsidR="00E14D8A" w:rsidRPr="00262B49">
        <w:rPr>
          <w:sz w:val="20"/>
          <w:szCs w:val="20"/>
          <w:highlight w:val="lightGray"/>
        </w:rPr>
        <w:t>.</w:t>
      </w:r>
      <w:r w:rsidRPr="00262B49">
        <w:rPr>
          <w:sz w:val="20"/>
          <w:szCs w:val="20"/>
          <w:highlight w:val="lightGray"/>
        </w:rPr>
        <w:t xml:space="preserve"> </w:t>
      </w:r>
    </w:p>
    <w:p w14:paraId="4453743E" w14:textId="47E62591" w:rsidR="00F216F3" w:rsidRPr="00262B49" w:rsidRDefault="00F216F3" w:rsidP="00F216F3">
      <w:pPr>
        <w:rPr>
          <w:sz w:val="20"/>
          <w:szCs w:val="20"/>
          <w:highlight w:val="lightGray"/>
        </w:rPr>
      </w:pPr>
      <w:r w:rsidRPr="00262B49">
        <w:rPr>
          <w:sz w:val="20"/>
          <w:szCs w:val="20"/>
          <w:highlight w:val="lightGray"/>
        </w:rPr>
        <w:t xml:space="preserve">NSAID </w:t>
      </w:r>
      <w:proofErr w:type="gramStart"/>
      <w:r w:rsidR="00C568F3" w:rsidRPr="00262B49">
        <w:rPr>
          <w:sz w:val="20"/>
          <w:szCs w:val="20"/>
          <w:highlight w:val="lightGray"/>
        </w:rPr>
        <w:t>1-</w:t>
      </w:r>
      <w:r w:rsidR="00E06331" w:rsidRPr="00262B49">
        <w:rPr>
          <w:sz w:val="20"/>
          <w:szCs w:val="20"/>
          <w:highlight w:val="lightGray"/>
        </w:rPr>
        <w:t>2</w:t>
      </w:r>
      <w:proofErr w:type="gramEnd"/>
      <w:r w:rsidRPr="00262B49">
        <w:rPr>
          <w:sz w:val="20"/>
          <w:szCs w:val="20"/>
          <w:highlight w:val="lightGray"/>
        </w:rPr>
        <w:t xml:space="preserve"> dagar</w:t>
      </w:r>
      <w:r w:rsidR="00875B65" w:rsidRPr="00262B49">
        <w:rPr>
          <w:sz w:val="20"/>
          <w:szCs w:val="20"/>
          <w:highlight w:val="lightGray"/>
        </w:rPr>
        <w:t xml:space="preserve"> </w:t>
      </w:r>
      <w:r w:rsidR="00297132">
        <w:rPr>
          <w:sz w:val="20"/>
          <w:szCs w:val="20"/>
          <w:highlight w:val="lightGray"/>
        </w:rPr>
        <w:t xml:space="preserve">- </w:t>
      </w:r>
      <w:r w:rsidR="00875B65" w:rsidRPr="00262B49">
        <w:rPr>
          <w:sz w:val="20"/>
          <w:szCs w:val="20"/>
          <w:highlight w:val="lightGray"/>
        </w:rPr>
        <w:t>(1 dag enligt SSTH)</w:t>
      </w:r>
    </w:p>
    <w:p w14:paraId="509F5121" w14:textId="12AB5FBE" w:rsidR="00F216F3" w:rsidRPr="00262B49" w:rsidRDefault="00F216F3" w:rsidP="00F216F3">
      <w:pPr>
        <w:rPr>
          <w:sz w:val="20"/>
          <w:szCs w:val="20"/>
          <w:highlight w:val="lightGray"/>
        </w:rPr>
      </w:pPr>
      <w:proofErr w:type="spellStart"/>
      <w:r w:rsidRPr="00262B49">
        <w:rPr>
          <w:sz w:val="20"/>
          <w:szCs w:val="20"/>
          <w:highlight w:val="lightGray"/>
        </w:rPr>
        <w:t>Eliquis</w:t>
      </w:r>
      <w:proofErr w:type="spellEnd"/>
      <w:r w:rsidRPr="00262B49">
        <w:rPr>
          <w:sz w:val="20"/>
          <w:szCs w:val="20"/>
          <w:highlight w:val="lightGray"/>
        </w:rPr>
        <w:t xml:space="preserve">, </w:t>
      </w:r>
      <w:proofErr w:type="spellStart"/>
      <w:r w:rsidRPr="00262B49">
        <w:rPr>
          <w:sz w:val="20"/>
          <w:szCs w:val="20"/>
          <w:highlight w:val="lightGray"/>
        </w:rPr>
        <w:t>Xarelto</w:t>
      </w:r>
      <w:proofErr w:type="spellEnd"/>
      <w:r w:rsidR="00297132">
        <w:rPr>
          <w:sz w:val="20"/>
          <w:szCs w:val="20"/>
          <w:highlight w:val="lightGray"/>
        </w:rPr>
        <w:t xml:space="preserve"> -</w:t>
      </w:r>
      <w:r w:rsidRPr="00262B49">
        <w:rPr>
          <w:sz w:val="20"/>
          <w:szCs w:val="20"/>
          <w:highlight w:val="lightGray"/>
        </w:rPr>
        <w:t xml:space="preserve"> 2 dygn om </w:t>
      </w:r>
      <w:proofErr w:type="gramStart"/>
      <w:r w:rsidRPr="00262B49">
        <w:rPr>
          <w:sz w:val="20"/>
          <w:szCs w:val="20"/>
          <w:highlight w:val="lightGray"/>
        </w:rPr>
        <w:t>GFR &gt;</w:t>
      </w:r>
      <w:proofErr w:type="gramEnd"/>
      <w:r w:rsidRPr="00262B49">
        <w:rPr>
          <w:sz w:val="20"/>
          <w:szCs w:val="20"/>
          <w:highlight w:val="lightGray"/>
        </w:rPr>
        <w:t xml:space="preserve"> 30</w:t>
      </w:r>
      <w:r w:rsidR="0087088B">
        <w:rPr>
          <w:sz w:val="20"/>
          <w:szCs w:val="20"/>
          <w:highlight w:val="lightGray"/>
        </w:rPr>
        <w:t xml:space="preserve"> ml/min </w:t>
      </w:r>
      <w:r w:rsidRPr="00262B49">
        <w:rPr>
          <w:sz w:val="20"/>
          <w:szCs w:val="20"/>
          <w:highlight w:val="lightGray"/>
        </w:rPr>
        <w:t>, 3 dygn om GFR &lt; 30</w:t>
      </w:r>
      <w:r w:rsidR="0087088B" w:rsidRPr="0087088B">
        <w:rPr>
          <w:sz w:val="20"/>
          <w:szCs w:val="20"/>
          <w:highlight w:val="lightGray"/>
        </w:rPr>
        <w:t xml:space="preserve"> </w:t>
      </w:r>
      <w:r w:rsidR="0087088B">
        <w:rPr>
          <w:sz w:val="20"/>
          <w:szCs w:val="20"/>
          <w:highlight w:val="lightGray"/>
        </w:rPr>
        <w:t>ml/min</w:t>
      </w:r>
    </w:p>
    <w:p w14:paraId="0AF83A54" w14:textId="279BB9C2" w:rsidR="00F216F3" w:rsidRPr="00262B49" w:rsidRDefault="00F216F3" w:rsidP="00F216F3">
      <w:pPr>
        <w:rPr>
          <w:sz w:val="20"/>
          <w:szCs w:val="20"/>
          <w:highlight w:val="lightGray"/>
        </w:rPr>
      </w:pPr>
      <w:proofErr w:type="spellStart"/>
      <w:r w:rsidRPr="00262B49">
        <w:rPr>
          <w:sz w:val="20"/>
          <w:szCs w:val="20"/>
          <w:highlight w:val="lightGray"/>
        </w:rPr>
        <w:t>Pradaxa</w:t>
      </w:r>
      <w:proofErr w:type="spellEnd"/>
      <w:r w:rsidR="00297132">
        <w:rPr>
          <w:sz w:val="20"/>
          <w:szCs w:val="20"/>
          <w:highlight w:val="lightGray"/>
        </w:rPr>
        <w:t xml:space="preserve"> -</w:t>
      </w:r>
      <w:r w:rsidRPr="00262B49">
        <w:rPr>
          <w:sz w:val="20"/>
          <w:szCs w:val="20"/>
          <w:highlight w:val="lightGray"/>
        </w:rPr>
        <w:t xml:space="preserve"> 3 dygn om </w:t>
      </w:r>
      <w:proofErr w:type="gramStart"/>
      <w:r w:rsidRPr="00262B49">
        <w:rPr>
          <w:sz w:val="20"/>
          <w:szCs w:val="20"/>
          <w:highlight w:val="lightGray"/>
        </w:rPr>
        <w:t>GFR &gt;</w:t>
      </w:r>
      <w:proofErr w:type="gramEnd"/>
      <w:r w:rsidRPr="00262B49">
        <w:rPr>
          <w:sz w:val="20"/>
          <w:szCs w:val="20"/>
          <w:highlight w:val="lightGray"/>
        </w:rPr>
        <w:t xml:space="preserve"> 30</w:t>
      </w:r>
      <w:r w:rsidR="0087088B" w:rsidRPr="0087088B">
        <w:rPr>
          <w:sz w:val="20"/>
          <w:szCs w:val="20"/>
          <w:highlight w:val="lightGray"/>
        </w:rPr>
        <w:t xml:space="preserve"> </w:t>
      </w:r>
      <w:r w:rsidR="0087088B">
        <w:rPr>
          <w:sz w:val="20"/>
          <w:szCs w:val="20"/>
          <w:highlight w:val="lightGray"/>
        </w:rPr>
        <w:t>ml/min</w:t>
      </w:r>
      <w:r w:rsidRPr="00262B49">
        <w:rPr>
          <w:sz w:val="20"/>
          <w:szCs w:val="20"/>
          <w:highlight w:val="lightGray"/>
        </w:rPr>
        <w:t>, 4 dygn om GFR &lt; 30</w:t>
      </w:r>
      <w:r w:rsidR="0087088B" w:rsidRPr="0087088B">
        <w:rPr>
          <w:sz w:val="20"/>
          <w:szCs w:val="20"/>
          <w:highlight w:val="lightGray"/>
        </w:rPr>
        <w:t xml:space="preserve"> </w:t>
      </w:r>
      <w:r w:rsidR="0087088B">
        <w:rPr>
          <w:sz w:val="20"/>
          <w:szCs w:val="20"/>
          <w:highlight w:val="lightGray"/>
        </w:rPr>
        <w:t>ml/min</w:t>
      </w:r>
    </w:p>
    <w:p w14:paraId="56537F05" w14:textId="77777777" w:rsidR="009F4698" w:rsidRPr="00FA1B69" w:rsidRDefault="009F4698" w:rsidP="009F4698">
      <w:pPr>
        <w:rPr>
          <w:sz w:val="20"/>
          <w:szCs w:val="20"/>
        </w:rPr>
      </w:pPr>
    </w:p>
    <w:p w14:paraId="5C3CD7A1" w14:textId="77777777" w:rsidR="009F4698" w:rsidRPr="00FA1B69" w:rsidRDefault="009F4698" w:rsidP="009F4698">
      <w:pPr>
        <w:rPr>
          <w:b/>
          <w:bCs/>
        </w:rPr>
      </w:pPr>
      <w:proofErr w:type="spellStart"/>
      <w:r w:rsidRPr="00FA1B69">
        <w:rPr>
          <w:b/>
          <w:bCs/>
        </w:rPr>
        <w:t>Poliklinisering</w:t>
      </w:r>
      <w:proofErr w:type="spellEnd"/>
      <w:r w:rsidRPr="00FA1B69">
        <w:rPr>
          <w:b/>
          <w:bCs/>
        </w:rPr>
        <w:t xml:space="preserve"> av njurbiopsier</w:t>
      </w:r>
    </w:p>
    <w:p w14:paraId="25291C26" w14:textId="4544625D" w:rsidR="009F4698" w:rsidRPr="00FA1B69" w:rsidRDefault="006E0942" w:rsidP="009F4698">
      <w:pPr>
        <w:rPr>
          <w:sz w:val="20"/>
          <w:szCs w:val="20"/>
        </w:rPr>
      </w:pPr>
      <w:r>
        <w:rPr>
          <w:sz w:val="20"/>
          <w:szCs w:val="20"/>
        </w:rPr>
        <w:t xml:space="preserve">Ett stort antal </w:t>
      </w:r>
      <w:r w:rsidR="009F4698" w:rsidRPr="00FA1B69">
        <w:rPr>
          <w:sz w:val="20"/>
          <w:szCs w:val="20"/>
        </w:rPr>
        <w:t xml:space="preserve">njurkliniker har </w:t>
      </w:r>
      <w:r>
        <w:rPr>
          <w:sz w:val="20"/>
          <w:szCs w:val="20"/>
        </w:rPr>
        <w:t>som rutin att</w:t>
      </w:r>
      <w:r w:rsidR="009F4698" w:rsidRPr="00FA1B69">
        <w:rPr>
          <w:sz w:val="20"/>
          <w:szCs w:val="20"/>
        </w:rPr>
        <w:t xml:space="preserve"> </w:t>
      </w:r>
      <w:proofErr w:type="spellStart"/>
      <w:r w:rsidR="009F4698" w:rsidRPr="00FA1B69">
        <w:rPr>
          <w:sz w:val="20"/>
          <w:szCs w:val="20"/>
        </w:rPr>
        <w:t>poliklinisera</w:t>
      </w:r>
      <w:proofErr w:type="spellEnd"/>
      <w:r w:rsidR="009F4698" w:rsidRPr="00FA1B69">
        <w:rPr>
          <w:sz w:val="20"/>
          <w:szCs w:val="20"/>
        </w:rPr>
        <w:t xml:space="preserve"> biopsier av njurtransplantat som i och med sin ytliga placering är lättare att snabbt bedöma </w:t>
      </w:r>
      <w:r w:rsidR="006A4DF6">
        <w:rPr>
          <w:sz w:val="20"/>
          <w:szCs w:val="20"/>
        </w:rPr>
        <w:t>och åtgärda</w:t>
      </w:r>
      <w:r>
        <w:rPr>
          <w:sz w:val="20"/>
          <w:szCs w:val="20"/>
        </w:rPr>
        <w:t xml:space="preserve"> </w:t>
      </w:r>
      <w:r w:rsidR="009F4698" w:rsidRPr="00FA1B69">
        <w:rPr>
          <w:sz w:val="20"/>
          <w:szCs w:val="20"/>
        </w:rPr>
        <w:t xml:space="preserve">eventuella tillstötta komplikationer. </w:t>
      </w:r>
      <w:r w:rsidR="00384104">
        <w:rPr>
          <w:sz w:val="20"/>
          <w:szCs w:val="20"/>
        </w:rPr>
        <w:t>E</w:t>
      </w:r>
      <w:r w:rsidR="009F4698" w:rsidRPr="00FA1B69">
        <w:rPr>
          <w:sz w:val="20"/>
          <w:szCs w:val="20"/>
        </w:rPr>
        <w:t xml:space="preserve">tt antal kliniker i landet har även </w:t>
      </w:r>
      <w:proofErr w:type="spellStart"/>
      <w:r w:rsidR="009F4698" w:rsidRPr="00FA1B69">
        <w:rPr>
          <w:sz w:val="20"/>
          <w:szCs w:val="20"/>
        </w:rPr>
        <w:t>polikliniserat</w:t>
      </w:r>
      <w:proofErr w:type="spellEnd"/>
      <w:r w:rsidR="009F4698" w:rsidRPr="00FA1B69">
        <w:rPr>
          <w:sz w:val="20"/>
          <w:szCs w:val="20"/>
        </w:rPr>
        <w:t xml:space="preserve"> biopsier av nativa njurar på lämpliga patienter. </w:t>
      </w:r>
    </w:p>
    <w:p w14:paraId="7820DBC3" w14:textId="3EBB5574" w:rsidR="009F4698" w:rsidRPr="00FA1B69" w:rsidRDefault="009F4698" w:rsidP="00727D5E">
      <w:pPr>
        <w:rPr>
          <w:sz w:val="20"/>
          <w:szCs w:val="20"/>
        </w:rPr>
      </w:pPr>
      <w:r w:rsidRPr="00FA1B69">
        <w:rPr>
          <w:sz w:val="20"/>
          <w:szCs w:val="20"/>
        </w:rPr>
        <w:t xml:space="preserve">Karaktäristika som selekterar </w:t>
      </w:r>
      <w:r w:rsidR="006E0942">
        <w:rPr>
          <w:sz w:val="20"/>
          <w:szCs w:val="20"/>
        </w:rPr>
        <w:t xml:space="preserve">fram </w:t>
      </w:r>
      <w:r w:rsidR="006354D3">
        <w:rPr>
          <w:sz w:val="20"/>
          <w:szCs w:val="20"/>
        </w:rPr>
        <w:t>potentiella</w:t>
      </w:r>
      <w:r w:rsidR="006E0942">
        <w:rPr>
          <w:sz w:val="20"/>
          <w:szCs w:val="20"/>
        </w:rPr>
        <w:t xml:space="preserve"> patienter är om biopsin ej behöver ske </w:t>
      </w:r>
      <w:r w:rsidR="005765A8">
        <w:rPr>
          <w:sz w:val="20"/>
          <w:szCs w:val="20"/>
        </w:rPr>
        <w:t>akut</w:t>
      </w:r>
      <w:r w:rsidR="006E0942">
        <w:rPr>
          <w:sz w:val="20"/>
          <w:szCs w:val="20"/>
        </w:rPr>
        <w:t xml:space="preserve"> och att det </w:t>
      </w:r>
      <w:r w:rsidR="006A4DF6">
        <w:rPr>
          <w:sz w:val="20"/>
          <w:szCs w:val="20"/>
        </w:rPr>
        <w:t>fö</w:t>
      </w:r>
      <w:r w:rsidR="006E0942">
        <w:rPr>
          <w:sz w:val="20"/>
          <w:szCs w:val="20"/>
        </w:rPr>
        <w:t>r</w:t>
      </w:r>
      <w:r w:rsidR="006A4DF6">
        <w:rPr>
          <w:sz w:val="20"/>
          <w:szCs w:val="20"/>
        </w:rPr>
        <w:t>eligger</w:t>
      </w:r>
      <w:r w:rsidR="006E0942">
        <w:rPr>
          <w:sz w:val="20"/>
          <w:szCs w:val="20"/>
        </w:rPr>
        <w:t xml:space="preserve"> en h</w:t>
      </w:r>
      <w:r w:rsidRPr="00FA1B69">
        <w:rPr>
          <w:sz w:val="20"/>
          <w:szCs w:val="20"/>
        </w:rPr>
        <w:t xml:space="preserve">anterbar förekomst av </w:t>
      </w:r>
      <w:proofErr w:type="spellStart"/>
      <w:r w:rsidRPr="00FA1B69">
        <w:rPr>
          <w:sz w:val="20"/>
          <w:szCs w:val="20"/>
        </w:rPr>
        <w:t>komorbiditeter</w:t>
      </w:r>
      <w:proofErr w:type="spellEnd"/>
      <w:r w:rsidRPr="00FA1B69">
        <w:rPr>
          <w:sz w:val="20"/>
          <w:szCs w:val="20"/>
        </w:rPr>
        <w:t xml:space="preserve">. Patienten måste </w:t>
      </w:r>
      <w:r w:rsidR="00384104">
        <w:rPr>
          <w:sz w:val="20"/>
          <w:szCs w:val="20"/>
        </w:rPr>
        <w:t>klara av egenvård och kontroller</w:t>
      </w:r>
      <w:r w:rsidRPr="00FA1B69">
        <w:rPr>
          <w:sz w:val="20"/>
          <w:szCs w:val="20"/>
        </w:rPr>
        <w:t xml:space="preserve">. Det krävs kognitiv förmåga </w:t>
      </w:r>
      <w:r w:rsidR="006A4DF6">
        <w:rPr>
          <w:sz w:val="20"/>
          <w:szCs w:val="20"/>
        </w:rPr>
        <w:t xml:space="preserve">nog för </w:t>
      </w:r>
      <w:r w:rsidRPr="00FA1B69">
        <w:rPr>
          <w:sz w:val="20"/>
          <w:szCs w:val="20"/>
        </w:rPr>
        <w:t>att notera och reagera på eventuella symtom som kan tyda på komplikation och då söka vård</w:t>
      </w:r>
      <w:r w:rsidR="005B7559">
        <w:rPr>
          <w:sz w:val="20"/>
          <w:szCs w:val="20"/>
        </w:rPr>
        <w:t xml:space="preserve"> (</w:t>
      </w:r>
      <w:proofErr w:type="gramStart"/>
      <w:r w:rsidR="005B7559" w:rsidRPr="005B7559">
        <w:rPr>
          <w:sz w:val="16"/>
          <w:szCs w:val="16"/>
        </w:rPr>
        <w:t>3</w:t>
      </w:r>
      <w:r w:rsidR="00B911CC">
        <w:rPr>
          <w:sz w:val="16"/>
          <w:szCs w:val="16"/>
        </w:rPr>
        <w:t>5-37</w:t>
      </w:r>
      <w:proofErr w:type="gramEnd"/>
      <w:r w:rsidR="005B7559">
        <w:rPr>
          <w:sz w:val="20"/>
          <w:szCs w:val="20"/>
        </w:rPr>
        <w:t>)</w:t>
      </w:r>
      <w:r w:rsidRPr="00FA1B69">
        <w:rPr>
          <w:sz w:val="20"/>
          <w:szCs w:val="20"/>
        </w:rPr>
        <w:t xml:space="preserve">. </w:t>
      </w:r>
    </w:p>
    <w:p w14:paraId="20B8FA54" w14:textId="26212080" w:rsidR="00FA1B69" w:rsidRDefault="009F4698" w:rsidP="00DE6942">
      <w:r w:rsidRPr="00384104">
        <w:rPr>
          <w:b/>
          <w:bCs/>
          <w:sz w:val="20"/>
          <w:szCs w:val="20"/>
        </w:rPr>
        <w:t>Avslutningsvis</w:t>
      </w:r>
      <w:r w:rsidR="00D05B8B" w:rsidRPr="00384104">
        <w:rPr>
          <w:b/>
          <w:bCs/>
          <w:sz w:val="20"/>
          <w:szCs w:val="20"/>
        </w:rPr>
        <w:t xml:space="preserve"> </w:t>
      </w:r>
      <w:r w:rsidR="00D05B8B" w:rsidRPr="00FA1B69">
        <w:rPr>
          <w:sz w:val="20"/>
          <w:szCs w:val="20"/>
        </w:rPr>
        <w:t xml:space="preserve">- </w:t>
      </w:r>
      <w:r w:rsidR="001E42C9" w:rsidRPr="00FA1B69">
        <w:rPr>
          <w:sz w:val="20"/>
          <w:szCs w:val="20"/>
        </w:rPr>
        <w:t>Det</w:t>
      </w:r>
      <w:r w:rsidR="004B59DC" w:rsidRPr="00FA1B69">
        <w:rPr>
          <w:sz w:val="20"/>
          <w:szCs w:val="20"/>
        </w:rPr>
        <w:t xml:space="preserve"> finns ett </w:t>
      </w:r>
      <w:r w:rsidR="00AD0146" w:rsidRPr="00FA1B69">
        <w:rPr>
          <w:sz w:val="20"/>
          <w:szCs w:val="20"/>
        </w:rPr>
        <w:t xml:space="preserve">stort utbud </w:t>
      </w:r>
      <w:r w:rsidR="001E42C9" w:rsidRPr="00FA1B69">
        <w:rPr>
          <w:sz w:val="20"/>
          <w:szCs w:val="20"/>
        </w:rPr>
        <w:t xml:space="preserve">av mer eller mindre </w:t>
      </w:r>
      <w:r w:rsidR="006A4DF6">
        <w:rPr>
          <w:sz w:val="20"/>
          <w:szCs w:val="20"/>
        </w:rPr>
        <w:t>vetenskapligt grundade</w:t>
      </w:r>
      <w:r w:rsidR="004B59DC" w:rsidRPr="00FA1B69">
        <w:rPr>
          <w:sz w:val="20"/>
          <w:szCs w:val="20"/>
        </w:rPr>
        <w:t xml:space="preserve"> </w:t>
      </w:r>
      <w:r w:rsidR="001E42C9" w:rsidRPr="00FA1B69">
        <w:rPr>
          <w:sz w:val="20"/>
          <w:szCs w:val="20"/>
        </w:rPr>
        <w:t>råd</w:t>
      </w:r>
      <w:r w:rsidR="006E6FB0">
        <w:rPr>
          <w:sz w:val="20"/>
          <w:szCs w:val="20"/>
        </w:rPr>
        <w:t xml:space="preserve"> avseende </w:t>
      </w:r>
      <w:r w:rsidR="00503CB5">
        <w:rPr>
          <w:sz w:val="20"/>
          <w:szCs w:val="20"/>
        </w:rPr>
        <w:t xml:space="preserve">ordination av </w:t>
      </w:r>
      <w:r w:rsidR="006E6FB0">
        <w:rPr>
          <w:sz w:val="20"/>
          <w:szCs w:val="20"/>
        </w:rPr>
        <w:t xml:space="preserve">antikoagulantia </w:t>
      </w:r>
      <w:r w:rsidR="00503CB5">
        <w:rPr>
          <w:sz w:val="20"/>
          <w:szCs w:val="20"/>
        </w:rPr>
        <w:t xml:space="preserve">vid olika ingrepp </w:t>
      </w:r>
      <w:r w:rsidR="001E42C9" w:rsidRPr="00FA1B69">
        <w:rPr>
          <w:sz w:val="20"/>
          <w:szCs w:val="20"/>
        </w:rPr>
        <w:t xml:space="preserve">men en bra </w:t>
      </w:r>
      <w:r w:rsidR="00503CB5">
        <w:rPr>
          <w:sz w:val="20"/>
          <w:szCs w:val="20"/>
        </w:rPr>
        <w:t>och evidensförankrad</w:t>
      </w:r>
      <w:r w:rsidR="001E42C9" w:rsidRPr="00FA1B69">
        <w:rPr>
          <w:sz w:val="20"/>
          <w:szCs w:val="20"/>
        </w:rPr>
        <w:t xml:space="preserve"> sammanställning om </w:t>
      </w:r>
      <w:r w:rsidR="006D21BA" w:rsidRPr="00FA1B69">
        <w:rPr>
          <w:sz w:val="20"/>
          <w:szCs w:val="20"/>
        </w:rPr>
        <w:t>hantering av antikoagul</w:t>
      </w:r>
      <w:r w:rsidR="004B59DC" w:rsidRPr="00FA1B69">
        <w:rPr>
          <w:sz w:val="20"/>
          <w:szCs w:val="20"/>
        </w:rPr>
        <w:t>a</w:t>
      </w:r>
      <w:r w:rsidR="006D21BA" w:rsidRPr="00FA1B69">
        <w:rPr>
          <w:sz w:val="20"/>
          <w:szCs w:val="20"/>
        </w:rPr>
        <w:t xml:space="preserve">ntia vid </w:t>
      </w:r>
      <w:r w:rsidR="001E42C9" w:rsidRPr="00FA1B69">
        <w:rPr>
          <w:sz w:val="20"/>
          <w:szCs w:val="20"/>
        </w:rPr>
        <w:t xml:space="preserve">kirurgiska lågriskingrepp </w:t>
      </w:r>
      <w:r w:rsidR="006A4DF6">
        <w:rPr>
          <w:sz w:val="20"/>
          <w:szCs w:val="20"/>
        </w:rPr>
        <w:t xml:space="preserve">finns </w:t>
      </w:r>
      <w:r w:rsidR="001E42C9" w:rsidRPr="00FA1B69">
        <w:rPr>
          <w:sz w:val="20"/>
          <w:szCs w:val="20"/>
        </w:rPr>
        <w:t xml:space="preserve">på </w:t>
      </w:r>
      <w:proofErr w:type="spellStart"/>
      <w:proofErr w:type="gramStart"/>
      <w:r w:rsidR="001E42C9" w:rsidRPr="00FA1B69">
        <w:rPr>
          <w:sz w:val="20"/>
          <w:szCs w:val="20"/>
        </w:rPr>
        <w:t>SSTHs</w:t>
      </w:r>
      <w:proofErr w:type="spellEnd"/>
      <w:proofErr w:type="gramEnd"/>
      <w:r w:rsidR="001E42C9" w:rsidRPr="00FA1B69">
        <w:rPr>
          <w:sz w:val="20"/>
          <w:szCs w:val="20"/>
        </w:rPr>
        <w:t xml:space="preserve"> </w:t>
      </w:r>
      <w:r w:rsidR="006D21BA" w:rsidRPr="00FA1B69">
        <w:rPr>
          <w:sz w:val="20"/>
          <w:szCs w:val="20"/>
        </w:rPr>
        <w:t xml:space="preserve">(svenska sällskapet för trombos och </w:t>
      </w:r>
      <w:proofErr w:type="spellStart"/>
      <w:r w:rsidR="006D21BA" w:rsidRPr="00FA1B69">
        <w:rPr>
          <w:sz w:val="20"/>
          <w:szCs w:val="20"/>
        </w:rPr>
        <w:t>hemostas</w:t>
      </w:r>
      <w:proofErr w:type="spellEnd"/>
      <w:r w:rsidR="006D21BA" w:rsidRPr="00FA1B69">
        <w:rPr>
          <w:sz w:val="20"/>
          <w:szCs w:val="20"/>
        </w:rPr>
        <w:t xml:space="preserve">) </w:t>
      </w:r>
      <w:r w:rsidR="001E42C9" w:rsidRPr="00FA1B69">
        <w:rPr>
          <w:sz w:val="20"/>
          <w:szCs w:val="20"/>
        </w:rPr>
        <w:t xml:space="preserve">hemsida </w:t>
      </w:r>
      <w:hyperlink r:id="rId5" w:history="1">
        <w:r w:rsidR="00A23937" w:rsidRPr="00713FDD">
          <w:rPr>
            <w:rStyle w:val="Hyperlnk"/>
            <w:sz w:val="20"/>
            <w:szCs w:val="20"/>
          </w:rPr>
          <w:t>www.ssth.se</w:t>
        </w:r>
      </w:hyperlink>
      <w:r w:rsidR="00A23937">
        <w:rPr>
          <w:sz w:val="20"/>
          <w:szCs w:val="20"/>
        </w:rPr>
        <w:t xml:space="preserve"> </w:t>
      </w:r>
      <w:r w:rsidR="005B7559">
        <w:rPr>
          <w:sz w:val="20"/>
          <w:szCs w:val="20"/>
        </w:rPr>
        <w:t>(</w:t>
      </w:r>
      <w:r w:rsidR="005B7559" w:rsidRPr="005B7559">
        <w:rPr>
          <w:sz w:val="16"/>
          <w:szCs w:val="16"/>
        </w:rPr>
        <w:t>3</w:t>
      </w:r>
      <w:r w:rsidR="00B911CC">
        <w:rPr>
          <w:sz w:val="16"/>
          <w:szCs w:val="16"/>
        </w:rPr>
        <w:t>8</w:t>
      </w:r>
      <w:r w:rsidR="005B7559">
        <w:rPr>
          <w:sz w:val="20"/>
          <w:szCs w:val="20"/>
        </w:rPr>
        <w:t>)</w:t>
      </w:r>
      <w:r w:rsidR="00F814B7">
        <w:t>.</w:t>
      </w:r>
    </w:p>
    <w:p w14:paraId="75E2F739" w14:textId="77777777" w:rsidR="00FA1B69" w:rsidRDefault="00FA1B69" w:rsidP="00DE6942"/>
    <w:p w14:paraId="28A8A709" w14:textId="77777777" w:rsidR="00FA1B69" w:rsidRDefault="00FA1B69" w:rsidP="00DE6942"/>
    <w:p w14:paraId="0FDBA3E6" w14:textId="6D1D0733" w:rsidR="00D05B8B" w:rsidRPr="00EA02C3" w:rsidRDefault="00D05B8B" w:rsidP="00D05B8B">
      <w:pPr>
        <w:rPr>
          <w:b/>
          <w:bCs/>
          <w:sz w:val="20"/>
          <w:szCs w:val="20"/>
        </w:rPr>
      </w:pPr>
      <w:r w:rsidRPr="00EA02C3">
        <w:rPr>
          <w:b/>
          <w:bCs/>
          <w:sz w:val="20"/>
          <w:szCs w:val="20"/>
        </w:rPr>
        <w:t xml:space="preserve">Tabell 1 </w:t>
      </w:r>
      <w:r w:rsidR="006E0942" w:rsidRPr="00EA02C3">
        <w:rPr>
          <w:b/>
          <w:bCs/>
          <w:sz w:val="20"/>
          <w:szCs w:val="20"/>
        </w:rPr>
        <w:t>R</w:t>
      </w:r>
      <w:r w:rsidRPr="00EA02C3">
        <w:rPr>
          <w:b/>
          <w:bCs/>
          <w:sz w:val="20"/>
          <w:szCs w:val="20"/>
        </w:rPr>
        <w:t>iskfaktorer för blödning efter njurbiopsi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5B8B" w:rsidRPr="00EA02C3" w14:paraId="6CCFA731" w14:textId="77777777" w:rsidTr="00104FF2">
        <w:tc>
          <w:tcPr>
            <w:tcW w:w="4531" w:type="dxa"/>
          </w:tcPr>
          <w:p w14:paraId="782B7A4E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b/>
                <w:bCs/>
                <w:sz w:val="20"/>
                <w:szCs w:val="20"/>
              </w:rPr>
              <w:t xml:space="preserve">Påverkbara riskfaktorer </w:t>
            </w:r>
          </w:p>
        </w:tc>
        <w:tc>
          <w:tcPr>
            <w:tcW w:w="4531" w:type="dxa"/>
          </w:tcPr>
          <w:p w14:paraId="36FFF4AD" w14:textId="77777777" w:rsidR="00D05B8B" w:rsidRPr="00EA02C3" w:rsidRDefault="00D05B8B" w:rsidP="00104FF2">
            <w:pPr>
              <w:rPr>
                <w:b/>
                <w:bCs/>
                <w:sz w:val="20"/>
                <w:szCs w:val="20"/>
              </w:rPr>
            </w:pPr>
            <w:r w:rsidRPr="00EA02C3">
              <w:rPr>
                <w:b/>
                <w:bCs/>
                <w:sz w:val="20"/>
                <w:szCs w:val="20"/>
              </w:rPr>
              <w:t>Icke påverkbara riskfaktorer</w:t>
            </w:r>
          </w:p>
          <w:p w14:paraId="145A71E2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</w:tr>
      <w:tr w:rsidR="00D05B8B" w:rsidRPr="00EA02C3" w14:paraId="66213C5A" w14:textId="77777777" w:rsidTr="00104FF2">
        <w:tc>
          <w:tcPr>
            <w:tcW w:w="4531" w:type="dxa"/>
          </w:tcPr>
          <w:p w14:paraId="754DF690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>Hypertoni</w:t>
            </w:r>
          </w:p>
          <w:p w14:paraId="4AF8E494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4965DBC1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>Ålder (hög&gt;lågt)</w:t>
            </w:r>
          </w:p>
          <w:p w14:paraId="63AC5AB8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</w:tr>
      <w:tr w:rsidR="00D05B8B" w:rsidRPr="00EA02C3" w14:paraId="04AF5FF9" w14:textId="77777777" w:rsidTr="00104FF2">
        <w:tc>
          <w:tcPr>
            <w:tcW w:w="4531" w:type="dxa"/>
          </w:tcPr>
          <w:p w14:paraId="24153E09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proofErr w:type="spellStart"/>
            <w:r w:rsidRPr="00EA02C3">
              <w:rPr>
                <w:sz w:val="20"/>
                <w:szCs w:val="20"/>
              </w:rPr>
              <w:t>Trombocytopeni</w:t>
            </w:r>
            <w:proofErr w:type="spellEnd"/>
          </w:p>
          <w:p w14:paraId="5DF9A3FA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4D149D50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>GFR (lågt&gt;högt)</w:t>
            </w:r>
          </w:p>
          <w:p w14:paraId="2AE3EAB1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</w:tr>
      <w:tr w:rsidR="00D05B8B" w:rsidRPr="00EA02C3" w14:paraId="24B18BEB" w14:textId="77777777" w:rsidTr="00104FF2">
        <w:tc>
          <w:tcPr>
            <w:tcW w:w="4531" w:type="dxa"/>
          </w:tcPr>
          <w:p w14:paraId="57017480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proofErr w:type="spellStart"/>
            <w:r w:rsidRPr="00EA02C3">
              <w:rPr>
                <w:sz w:val="20"/>
                <w:szCs w:val="20"/>
              </w:rPr>
              <w:t>Koagulopati</w:t>
            </w:r>
            <w:proofErr w:type="spellEnd"/>
          </w:p>
          <w:p w14:paraId="6DDF304F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264D306D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 xml:space="preserve">Grundsjukdom (SLE&gt; </w:t>
            </w:r>
            <w:proofErr w:type="spellStart"/>
            <w:r w:rsidRPr="00EA02C3">
              <w:rPr>
                <w:sz w:val="20"/>
                <w:szCs w:val="20"/>
              </w:rPr>
              <w:t>Glomerulonefrit</w:t>
            </w:r>
            <w:proofErr w:type="spellEnd"/>
            <w:r w:rsidRPr="00EA02C3">
              <w:rPr>
                <w:sz w:val="20"/>
                <w:szCs w:val="20"/>
              </w:rPr>
              <w:t>)</w:t>
            </w:r>
          </w:p>
          <w:p w14:paraId="7A478476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</w:tr>
      <w:tr w:rsidR="00D05B8B" w:rsidRPr="00EA02C3" w14:paraId="5BA01151" w14:textId="77777777" w:rsidTr="00104FF2">
        <w:tc>
          <w:tcPr>
            <w:tcW w:w="4531" w:type="dxa"/>
          </w:tcPr>
          <w:p w14:paraId="4A518352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>Anemi</w:t>
            </w:r>
          </w:p>
          <w:p w14:paraId="3427CF89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76518013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 xml:space="preserve">Högt </w:t>
            </w:r>
            <w:proofErr w:type="spellStart"/>
            <w:r w:rsidRPr="00EA02C3">
              <w:rPr>
                <w:sz w:val="20"/>
                <w:szCs w:val="20"/>
              </w:rPr>
              <w:t>Frailty</w:t>
            </w:r>
            <w:proofErr w:type="spellEnd"/>
            <w:r w:rsidRPr="00EA02C3">
              <w:rPr>
                <w:sz w:val="20"/>
                <w:szCs w:val="20"/>
              </w:rPr>
              <w:t xml:space="preserve"> index </w:t>
            </w:r>
          </w:p>
          <w:p w14:paraId="2FAB59C8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</w:tr>
      <w:tr w:rsidR="00D05B8B" w:rsidRPr="00EA02C3" w14:paraId="2EB66D59" w14:textId="77777777" w:rsidTr="00104FF2">
        <w:tc>
          <w:tcPr>
            <w:tcW w:w="4531" w:type="dxa"/>
          </w:tcPr>
          <w:p w14:paraId="26C52B17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>4 el fler biopsiprov</w:t>
            </w:r>
          </w:p>
          <w:p w14:paraId="7512E2F3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70997D0F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>Kön (F&gt;M)</w:t>
            </w:r>
          </w:p>
          <w:p w14:paraId="4B5FA129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</w:tr>
      <w:tr w:rsidR="00D05B8B" w:rsidRPr="00EA02C3" w14:paraId="2BF67056" w14:textId="77777777" w:rsidTr="00104FF2">
        <w:tc>
          <w:tcPr>
            <w:tcW w:w="4531" w:type="dxa"/>
          </w:tcPr>
          <w:p w14:paraId="278DC5CD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4EA147B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 xml:space="preserve">Obesitas </w:t>
            </w:r>
          </w:p>
          <w:p w14:paraId="23205F58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</w:tr>
      <w:tr w:rsidR="00D05B8B" w:rsidRPr="00EA02C3" w14:paraId="49E4DC7A" w14:textId="77777777" w:rsidTr="00104FF2">
        <w:tc>
          <w:tcPr>
            <w:tcW w:w="4531" w:type="dxa"/>
          </w:tcPr>
          <w:p w14:paraId="28406404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4949BFF3" w14:textId="7DACA5CE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 xml:space="preserve">Multipla </w:t>
            </w:r>
            <w:proofErr w:type="spellStart"/>
            <w:r w:rsidRPr="00EA02C3">
              <w:rPr>
                <w:sz w:val="20"/>
                <w:szCs w:val="20"/>
              </w:rPr>
              <w:t>komorbiditeter</w:t>
            </w:r>
            <w:proofErr w:type="spellEnd"/>
            <w:r w:rsidRPr="00EA02C3">
              <w:rPr>
                <w:sz w:val="20"/>
                <w:szCs w:val="20"/>
              </w:rPr>
              <w:t xml:space="preserve"> (</w:t>
            </w:r>
            <w:proofErr w:type="spellStart"/>
            <w:r w:rsidRPr="00EA02C3">
              <w:rPr>
                <w:sz w:val="20"/>
                <w:szCs w:val="20"/>
              </w:rPr>
              <w:t>leversjd</w:t>
            </w:r>
            <w:proofErr w:type="spellEnd"/>
            <w:r w:rsidRPr="00EA02C3">
              <w:rPr>
                <w:sz w:val="20"/>
                <w:szCs w:val="20"/>
              </w:rPr>
              <w:t>, DM, CHD)</w:t>
            </w:r>
          </w:p>
          <w:p w14:paraId="2D55A698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</w:tr>
    </w:tbl>
    <w:p w14:paraId="6BEB0431" w14:textId="77777777" w:rsidR="00D05B8B" w:rsidRDefault="00D05B8B" w:rsidP="00D05B8B"/>
    <w:p w14:paraId="320CBDC5" w14:textId="77777777" w:rsidR="00D05B8B" w:rsidRDefault="00D05B8B" w:rsidP="00D05B8B"/>
    <w:p w14:paraId="2DD8ECAF" w14:textId="77777777" w:rsidR="00D05B8B" w:rsidRDefault="00D05B8B" w:rsidP="00D05B8B"/>
    <w:p w14:paraId="75FCBF4D" w14:textId="77777777" w:rsidR="00D05B8B" w:rsidRDefault="00D05B8B" w:rsidP="00D05B8B">
      <w:pPr>
        <w:rPr>
          <w:b/>
          <w:bCs/>
        </w:rPr>
      </w:pPr>
    </w:p>
    <w:p w14:paraId="0C6A5E1E" w14:textId="77777777" w:rsidR="00254F0C" w:rsidRDefault="00254F0C" w:rsidP="00D05B8B">
      <w:pPr>
        <w:rPr>
          <w:b/>
          <w:bCs/>
        </w:rPr>
      </w:pPr>
    </w:p>
    <w:p w14:paraId="7C43E2FB" w14:textId="77777777" w:rsidR="00D05B8B" w:rsidRDefault="00D05B8B" w:rsidP="00D05B8B">
      <w:pPr>
        <w:rPr>
          <w:b/>
          <w:bCs/>
          <w:sz w:val="24"/>
          <w:szCs w:val="24"/>
        </w:rPr>
      </w:pPr>
    </w:p>
    <w:p w14:paraId="5367BAAF" w14:textId="0C525F38" w:rsidR="00D05B8B" w:rsidRPr="00EA02C3" w:rsidRDefault="00D05B8B" w:rsidP="00D05B8B">
      <w:pPr>
        <w:rPr>
          <w:sz w:val="18"/>
          <w:szCs w:val="18"/>
        </w:rPr>
      </w:pPr>
      <w:r w:rsidRPr="00EA02C3">
        <w:rPr>
          <w:b/>
          <w:bCs/>
        </w:rPr>
        <w:lastRenderedPageBreak/>
        <w:t xml:space="preserve">Tabell 2 Kontraindikationer för njurbiopsi </w:t>
      </w:r>
      <w:r w:rsidRPr="00EA02C3">
        <w:rPr>
          <w:i/>
          <w:iCs/>
          <w:sz w:val="18"/>
          <w:szCs w:val="18"/>
        </w:rPr>
        <w:t>(</w:t>
      </w:r>
      <w:r w:rsidR="00235797" w:rsidRPr="00EA02C3">
        <w:rPr>
          <w:i/>
          <w:iCs/>
          <w:sz w:val="18"/>
          <w:szCs w:val="18"/>
        </w:rPr>
        <w:t xml:space="preserve">absoluta till vänster </w:t>
      </w:r>
      <w:r w:rsidRPr="00EA02C3">
        <w:rPr>
          <w:i/>
          <w:iCs/>
          <w:sz w:val="18"/>
          <w:szCs w:val="18"/>
          <w:highlight w:val="lightGray"/>
        </w:rPr>
        <w:t>relativa i grått</w:t>
      </w:r>
      <w:r w:rsidR="00235797" w:rsidRPr="00EA02C3">
        <w:rPr>
          <w:i/>
          <w:iCs/>
          <w:sz w:val="18"/>
          <w:szCs w:val="18"/>
        </w:rPr>
        <w:t xml:space="preserve"> till höger</w:t>
      </w:r>
      <w:r w:rsidRPr="00EA02C3">
        <w:rPr>
          <w:i/>
          <w:iCs/>
          <w:sz w:val="18"/>
          <w:szCs w:val="18"/>
        </w:rPr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5B8B" w:rsidRPr="00EA02C3" w14:paraId="305AAAB1" w14:textId="77777777" w:rsidTr="00104FF2">
        <w:tc>
          <w:tcPr>
            <w:tcW w:w="4531" w:type="dxa"/>
          </w:tcPr>
          <w:p w14:paraId="4D719D05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 xml:space="preserve">Okontrollerat BT – </w:t>
            </w:r>
            <w:r w:rsidRPr="00EA02C3">
              <w:rPr>
                <w:i/>
                <w:iCs/>
                <w:sz w:val="18"/>
                <w:szCs w:val="18"/>
              </w:rPr>
              <w:t>skjut upp men om det ej är möjligt att vänta görs kirurgisk biopsi med blodstillning</w:t>
            </w:r>
          </w:p>
          <w:p w14:paraId="1AA1B3AB" w14:textId="77777777" w:rsidR="00D05B8B" w:rsidRPr="00EA02C3" w:rsidRDefault="00D05B8B" w:rsidP="00104FF2"/>
        </w:tc>
        <w:tc>
          <w:tcPr>
            <w:tcW w:w="4531" w:type="dxa"/>
          </w:tcPr>
          <w:p w14:paraId="48765B59" w14:textId="77777777" w:rsidR="00D05B8B" w:rsidRPr="00EA02C3" w:rsidRDefault="00D05B8B" w:rsidP="00104FF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EA02C3">
              <w:rPr>
                <w:color w:val="000000" w:themeColor="text1"/>
                <w:sz w:val="20"/>
                <w:szCs w:val="20"/>
                <w:highlight w:val="lightGray"/>
              </w:rPr>
              <w:t>sBT</w:t>
            </w:r>
            <w:proofErr w:type="spellEnd"/>
            <w:r w:rsidRPr="00EA02C3">
              <w:rPr>
                <w:color w:val="000000" w:themeColor="text1"/>
                <w:sz w:val="20"/>
                <w:szCs w:val="20"/>
                <w:highlight w:val="lightGray"/>
              </w:rPr>
              <w:t xml:space="preserve"> &gt;</w:t>
            </w:r>
            <w:proofErr w:type="gramEnd"/>
            <w:r w:rsidRPr="00EA02C3">
              <w:rPr>
                <w:color w:val="000000" w:themeColor="text1"/>
                <w:sz w:val="20"/>
                <w:szCs w:val="20"/>
                <w:highlight w:val="lightGray"/>
              </w:rPr>
              <w:t xml:space="preserve"> 160</w:t>
            </w:r>
          </w:p>
          <w:p w14:paraId="7F9B2FF5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  <w:p w14:paraId="7F8BC6E8" w14:textId="77777777" w:rsidR="00D05B8B" w:rsidRPr="00EA02C3" w:rsidRDefault="00D05B8B" w:rsidP="00104FF2"/>
        </w:tc>
      </w:tr>
      <w:tr w:rsidR="00D05B8B" w:rsidRPr="00EA02C3" w14:paraId="25C3EAE7" w14:textId="77777777" w:rsidTr="00104FF2">
        <w:tc>
          <w:tcPr>
            <w:tcW w:w="4531" w:type="dxa"/>
          </w:tcPr>
          <w:p w14:paraId="21531E3F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>Pågående urinvägsinfektion</w:t>
            </w:r>
          </w:p>
          <w:p w14:paraId="0CBC177A" w14:textId="77777777" w:rsidR="00D05B8B" w:rsidRPr="00EA02C3" w:rsidRDefault="00D05B8B" w:rsidP="00104FF2"/>
        </w:tc>
        <w:tc>
          <w:tcPr>
            <w:tcW w:w="4531" w:type="dxa"/>
          </w:tcPr>
          <w:p w14:paraId="26DD6CD4" w14:textId="5C4F4BF5" w:rsidR="00D05B8B" w:rsidRPr="00EA02C3" w:rsidRDefault="00D05B8B" w:rsidP="00104FF2">
            <w:pPr>
              <w:rPr>
                <w:sz w:val="20"/>
                <w:szCs w:val="20"/>
                <w:highlight w:val="lightGray"/>
              </w:rPr>
            </w:pPr>
            <w:r w:rsidRPr="00EA02C3">
              <w:rPr>
                <w:sz w:val="20"/>
                <w:szCs w:val="20"/>
                <w:highlight w:val="lightGray"/>
              </w:rPr>
              <w:t xml:space="preserve">Singel </w:t>
            </w:r>
            <w:proofErr w:type="spellStart"/>
            <w:r w:rsidRPr="00EA02C3">
              <w:rPr>
                <w:sz w:val="20"/>
                <w:szCs w:val="20"/>
                <w:highlight w:val="lightGray"/>
              </w:rPr>
              <w:t>njurestatus</w:t>
            </w:r>
            <w:proofErr w:type="spellEnd"/>
            <w:r w:rsidRPr="00EA02C3">
              <w:rPr>
                <w:sz w:val="20"/>
                <w:szCs w:val="20"/>
                <w:highlight w:val="lightGray"/>
              </w:rPr>
              <w:t xml:space="preserve"> – </w:t>
            </w:r>
            <w:r w:rsidRPr="00EA02C3">
              <w:rPr>
                <w:i/>
                <w:iCs/>
                <w:sz w:val="14"/>
                <w:szCs w:val="14"/>
                <w:highlight w:val="lightGray"/>
              </w:rPr>
              <w:t>Kan genomföra</w:t>
            </w:r>
            <w:r w:rsidR="006A4DF6">
              <w:rPr>
                <w:i/>
                <w:iCs/>
                <w:sz w:val="14"/>
                <w:szCs w:val="14"/>
                <w:highlight w:val="lightGray"/>
              </w:rPr>
              <w:t>s</w:t>
            </w:r>
            <w:r w:rsidRPr="00EA02C3">
              <w:rPr>
                <w:i/>
                <w:iCs/>
                <w:sz w:val="14"/>
                <w:szCs w:val="14"/>
                <w:highlight w:val="lightGray"/>
              </w:rPr>
              <w:t xml:space="preserve"> om njuren är</w:t>
            </w:r>
            <w:r w:rsidRPr="00EA02C3">
              <w:rPr>
                <w:i/>
                <w:iCs/>
                <w:sz w:val="10"/>
                <w:szCs w:val="10"/>
                <w:highlight w:val="lightGray"/>
              </w:rPr>
              <w:t xml:space="preserve"> </w:t>
            </w:r>
            <w:proofErr w:type="spellStart"/>
            <w:r w:rsidRPr="00EA02C3">
              <w:rPr>
                <w:i/>
                <w:iCs/>
                <w:sz w:val="16"/>
                <w:szCs w:val="16"/>
                <w:highlight w:val="lightGray"/>
              </w:rPr>
              <w:t>välvisualiserad</w:t>
            </w:r>
            <w:proofErr w:type="spellEnd"/>
            <w:r w:rsidRPr="00EA02C3">
              <w:rPr>
                <w:i/>
                <w:iCs/>
                <w:sz w:val="16"/>
                <w:szCs w:val="16"/>
                <w:highlight w:val="lightGray"/>
              </w:rPr>
              <w:t xml:space="preserve"> o</w:t>
            </w:r>
            <w:r w:rsidR="006A4DF6">
              <w:rPr>
                <w:i/>
                <w:iCs/>
                <w:sz w:val="16"/>
                <w:szCs w:val="16"/>
                <w:highlight w:val="lightGray"/>
              </w:rPr>
              <w:t>ch</w:t>
            </w:r>
            <w:r w:rsidRPr="00EA02C3">
              <w:rPr>
                <w:i/>
                <w:iCs/>
                <w:sz w:val="16"/>
                <w:szCs w:val="16"/>
                <w:highlight w:val="lightGray"/>
              </w:rPr>
              <w:t xml:space="preserve"> en van </w:t>
            </w:r>
            <w:r w:rsidR="006A4DF6">
              <w:rPr>
                <w:i/>
                <w:iCs/>
                <w:sz w:val="16"/>
                <w:szCs w:val="16"/>
                <w:highlight w:val="lightGray"/>
              </w:rPr>
              <w:t>ultraljuds</w:t>
            </w:r>
            <w:r w:rsidRPr="00EA02C3">
              <w:rPr>
                <w:i/>
                <w:iCs/>
                <w:sz w:val="16"/>
                <w:szCs w:val="16"/>
                <w:highlight w:val="lightGray"/>
              </w:rPr>
              <w:t>utövare</w:t>
            </w:r>
          </w:p>
          <w:p w14:paraId="17A4BBC3" w14:textId="77777777" w:rsidR="00D05B8B" w:rsidRPr="00EA02C3" w:rsidRDefault="00D05B8B" w:rsidP="00104FF2">
            <w:pPr>
              <w:rPr>
                <w:highlight w:val="lightGray"/>
              </w:rPr>
            </w:pPr>
          </w:p>
        </w:tc>
      </w:tr>
      <w:tr w:rsidR="00D05B8B" w:rsidRPr="00EA02C3" w14:paraId="1DE1D789" w14:textId="77777777" w:rsidTr="00104FF2">
        <w:tc>
          <w:tcPr>
            <w:tcW w:w="4531" w:type="dxa"/>
          </w:tcPr>
          <w:p w14:paraId="68176932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 xml:space="preserve">TPK </w:t>
            </w:r>
            <w:proofErr w:type="gramStart"/>
            <w:r w:rsidRPr="00EA02C3">
              <w:rPr>
                <w:sz w:val="20"/>
                <w:szCs w:val="20"/>
              </w:rPr>
              <w:t>&lt; 120</w:t>
            </w:r>
            <w:proofErr w:type="gramEnd"/>
          </w:p>
          <w:p w14:paraId="652B95BA" w14:textId="77777777" w:rsidR="00D05B8B" w:rsidRPr="00EA02C3" w:rsidRDefault="00D05B8B" w:rsidP="00104FF2"/>
        </w:tc>
        <w:tc>
          <w:tcPr>
            <w:tcW w:w="4531" w:type="dxa"/>
          </w:tcPr>
          <w:p w14:paraId="541BF65B" w14:textId="77777777" w:rsidR="00D05B8B" w:rsidRPr="00EA02C3" w:rsidRDefault="00D05B8B" w:rsidP="00104FF2">
            <w:pPr>
              <w:rPr>
                <w:sz w:val="20"/>
                <w:szCs w:val="20"/>
                <w:highlight w:val="lightGray"/>
              </w:rPr>
            </w:pPr>
            <w:r w:rsidRPr="00EA02C3">
              <w:rPr>
                <w:sz w:val="20"/>
                <w:szCs w:val="20"/>
                <w:highlight w:val="lightGray"/>
              </w:rPr>
              <w:t>Bristande medverkandekapacitet / kognitivt status / psykiatrisk instabil</w:t>
            </w:r>
          </w:p>
          <w:p w14:paraId="4FC6EF94" w14:textId="77777777" w:rsidR="00D05B8B" w:rsidRPr="00EA02C3" w:rsidRDefault="00D05B8B" w:rsidP="00104FF2">
            <w:pPr>
              <w:rPr>
                <w:highlight w:val="lightGray"/>
              </w:rPr>
            </w:pPr>
          </w:p>
        </w:tc>
      </w:tr>
      <w:tr w:rsidR="00D05B8B" w:rsidRPr="00EA02C3" w14:paraId="3BF68A57" w14:textId="77777777" w:rsidTr="00104FF2">
        <w:tc>
          <w:tcPr>
            <w:tcW w:w="4531" w:type="dxa"/>
          </w:tcPr>
          <w:p w14:paraId="7C166348" w14:textId="09BAB4D4" w:rsidR="00D05B8B" w:rsidRPr="00EA02C3" w:rsidRDefault="006354D3" w:rsidP="00104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 (</w:t>
            </w:r>
            <w:r w:rsidR="00D05B8B" w:rsidRPr="00EA02C3">
              <w:rPr>
                <w:sz w:val="20"/>
                <w:szCs w:val="20"/>
              </w:rPr>
              <w:t>INR</w:t>
            </w:r>
            <w:r>
              <w:rPr>
                <w:sz w:val="20"/>
                <w:szCs w:val="20"/>
              </w:rPr>
              <w:t>)</w:t>
            </w:r>
            <w:r w:rsidR="00D05B8B" w:rsidRPr="00EA02C3">
              <w:rPr>
                <w:sz w:val="20"/>
                <w:szCs w:val="20"/>
              </w:rPr>
              <w:t xml:space="preserve"> &gt;1,4</w:t>
            </w:r>
          </w:p>
          <w:p w14:paraId="01EBAA0F" w14:textId="77777777" w:rsidR="00D05B8B" w:rsidRPr="00EA02C3" w:rsidRDefault="00D05B8B" w:rsidP="00104FF2"/>
        </w:tc>
        <w:tc>
          <w:tcPr>
            <w:tcW w:w="4531" w:type="dxa"/>
          </w:tcPr>
          <w:p w14:paraId="48E7C050" w14:textId="3FC29E58" w:rsidR="00D05B8B" w:rsidRPr="00EA02C3" w:rsidRDefault="00D05B8B" w:rsidP="00104FF2">
            <w:pPr>
              <w:rPr>
                <w:sz w:val="20"/>
                <w:szCs w:val="20"/>
                <w:highlight w:val="lightGray"/>
              </w:rPr>
            </w:pPr>
            <w:r w:rsidRPr="00EA02C3">
              <w:rPr>
                <w:sz w:val="20"/>
                <w:szCs w:val="20"/>
                <w:highlight w:val="lightGray"/>
              </w:rPr>
              <w:t>Graviditet</w:t>
            </w:r>
          </w:p>
          <w:p w14:paraId="7DC9A61C" w14:textId="77777777" w:rsidR="00D05B8B" w:rsidRPr="00EA02C3" w:rsidRDefault="00D05B8B" w:rsidP="00104FF2">
            <w:pPr>
              <w:rPr>
                <w:highlight w:val="lightGray"/>
              </w:rPr>
            </w:pPr>
          </w:p>
        </w:tc>
      </w:tr>
      <w:tr w:rsidR="00D05B8B" w:rsidRPr="00EA02C3" w14:paraId="6FCF60E3" w14:textId="77777777" w:rsidTr="00104FF2">
        <w:tc>
          <w:tcPr>
            <w:tcW w:w="4531" w:type="dxa"/>
          </w:tcPr>
          <w:p w14:paraId="7C260358" w14:textId="77777777" w:rsidR="00D05B8B" w:rsidRPr="00EA02C3" w:rsidRDefault="00D05B8B" w:rsidP="00104FF2">
            <w:r w:rsidRPr="00EA02C3">
              <w:rPr>
                <w:sz w:val="20"/>
                <w:szCs w:val="20"/>
              </w:rPr>
              <w:t>Hydronefros (avlasta först)</w:t>
            </w:r>
          </w:p>
        </w:tc>
        <w:tc>
          <w:tcPr>
            <w:tcW w:w="4531" w:type="dxa"/>
          </w:tcPr>
          <w:p w14:paraId="595B3BB5" w14:textId="534AF0D8" w:rsidR="00D05B8B" w:rsidRPr="00EA02C3" w:rsidRDefault="00D05B8B" w:rsidP="00104FF2">
            <w:pPr>
              <w:rPr>
                <w:sz w:val="20"/>
                <w:szCs w:val="20"/>
                <w:highlight w:val="lightGray"/>
              </w:rPr>
            </w:pPr>
            <w:r w:rsidRPr="00EA02C3">
              <w:rPr>
                <w:sz w:val="20"/>
                <w:szCs w:val="20"/>
                <w:highlight w:val="lightGray"/>
              </w:rPr>
              <w:t xml:space="preserve">Levercirrhos – </w:t>
            </w:r>
            <w:r w:rsidRPr="00EA02C3">
              <w:rPr>
                <w:i/>
                <w:iCs/>
                <w:sz w:val="16"/>
                <w:szCs w:val="16"/>
                <w:highlight w:val="lightGray"/>
              </w:rPr>
              <w:t xml:space="preserve">ökad blödningsrisk men genomförbart – kontrollera </w:t>
            </w:r>
            <w:proofErr w:type="spellStart"/>
            <w:r w:rsidR="00DC2E77">
              <w:rPr>
                <w:i/>
                <w:iCs/>
                <w:sz w:val="16"/>
                <w:szCs w:val="16"/>
                <w:highlight w:val="lightGray"/>
              </w:rPr>
              <w:t>koagulationsprover</w:t>
            </w:r>
            <w:proofErr w:type="spellEnd"/>
            <w:r w:rsidR="00B911CC">
              <w:rPr>
                <w:i/>
                <w:iCs/>
                <w:sz w:val="16"/>
                <w:szCs w:val="16"/>
                <w:highlight w:val="lightGray"/>
              </w:rPr>
              <w:t xml:space="preserve"> samt</w:t>
            </w:r>
            <w:r w:rsidRPr="00EA02C3">
              <w:rPr>
                <w:i/>
                <w:iCs/>
                <w:sz w:val="16"/>
                <w:szCs w:val="16"/>
                <w:highlight w:val="lightGray"/>
              </w:rPr>
              <w:t xml:space="preserve"> begränsa till </w:t>
            </w:r>
            <w:r w:rsidR="00DC2E77">
              <w:rPr>
                <w:i/>
                <w:iCs/>
                <w:sz w:val="16"/>
                <w:szCs w:val="16"/>
                <w:highlight w:val="lightGray"/>
              </w:rPr>
              <w:t>en</w:t>
            </w:r>
            <w:r w:rsidRPr="00EA02C3">
              <w:rPr>
                <w:i/>
                <w:iCs/>
                <w:sz w:val="16"/>
                <w:szCs w:val="16"/>
                <w:highlight w:val="lightGray"/>
              </w:rPr>
              <w:t xml:space="preserve"> vävnadsbi</w:t>
            </w:r>
            <w:r w:rsidR="00DC2E77">
              <w:rPr>
                <w:i/>
                <w:iCs/>
                <w:sz w:val="16"/>
                <w:szCs w:val="16"/>
                <w:highlight w:val="lightGray"/>
              </w:rPr>
              <w:t>t.</w:t>
            </w:r>
          </w:p>
          <w:p w14:paraId="1C0E6898" w14:textId="77777777" w:rsidR="00D05B8B" w:rsidRPr="00EA02C3" w:rsidRDefault="00D05B8B" w:rsidP="00104FF2">
            <w:pPr>
              <w:rPr>
                <w:highlight w:val="lightGray"/>
              </w:rPr>
            </w:pPr>
          </w:p>
        </w:tc>
      </w:tr>
      <w:tr w:rsidR="00D05B8B" w:rsidRPr="00EA02C3" w14:paraId="1BF0678A" w14:textId="77777777" w:rsidTr="00104FF2">
        <w:tc>
          <w:tcPr>
            <w:tcW w:w="4531" w:type="dxa"/>
          </w:tcPr>
          <w:p w14:paraId="01C4E439" w14:textId="77777777" w:rsidR="00D05B8B" w:rsidRPr="00EA02C3" w:rsidRDefault="00D05B8B" w:rsidP="00104FF2">
            <w:pPr>
              <w:rPr>
                <w:sz w:val="20"/>
                <w:szCs w:val="20"/>
              </w:rPr>
            </w:pPr>
            <w:r w:rsidRPr="00EA02C3">
              <w:rPr>
                <w:sz w:val="20"/>
                <w:szCs w:val="20"/>
              </w:rPr>
              <w:t xml:space="preserve">Hyperekogena njurar om GFR </w:t>
            </w:r>
            <w:proofErr w:type="gramStart"/>
            <w:r w:rsidRPr="00EA02C3">
              <w:rPr>
                <w:sz w:val="20"/>
                <w:szCs w:val="20"/>
              </w:rPr>
              <w:t>&lt; 30</w:t>
            </w:r>
            <w:proofErr w:type="gramEnd"/>
          </w:p>
          <w:p w14:paraId="797406A4" w14:textId="77777777" w:rsidR="00D05B8B" w:rsidRPr="00EA02C3" w:rsidRDefault="00D05B8B" w:rsidP="00104FF2"/>
        </w:tc>
        <w:tc>
          <w:tcPr>
            <w:tcW w:w="4531" w:type="dxa"/>
          </w:tcPr>
          <w:p w14:paraId="732FBAA9" w14:textId="77777777" w:rsidR="00D05B8B" w:rsidRPr="00EA02C3" w:rsidRDefault="00D05B8B" w:rsidP="00104FF2">
            <w:pPr>
              <w:rPr>
                <w:sz w:val="20"/>
                <w:szCs w:val="20"/>
                <w:highlight w:val="lightGray"/>
              </w:rPr>
            </w:pPr>
            <w:r w:rsidRPr="00EA02C3">
              <w:rPr>
                <w:sz w:val="20"/>
                <w:szCs w:val="20"/>
                <w:highlight w:val="lightGray"/>
              </w:rPr>
              <w:t xml:space="preserve">Anatomiska problem </w:t>
            </w:r>
            <w:r w:rsidRPr="00EA02C3">
              <w:rPr>
                <w:i/>
                <w:iCs/>
                <w:sz w:val="18"/>
                <w:szCs w:val="18"/>
                <w:highlight w:val="lightGray"/>
              </w:rPr>
              <w:t>(multipla cystor, kärlanomalier, hästskonjure)</w:t>
            </w:r>
          </w:p>
          <w:p w14:paraId="0918EAB2" w14:textId="77777777" w:rsidR="00D05B8B" w:rsidRPr="00EA02C3" w:rsidRDefault="00D05B8B" w:rsidP="00104FF2">
            <w:pPr>
              <w:rPr>
                <w:highlight w:val="lightGray"/>
              </w:rPr>
            </w:pPr>
          </w:p>
        </w:tc>
      </w:tr>
      <w:tr w:rsidR="00D05B8B" w:rsidRPr="00EA02C3" w14:paraId="3AD05C87" w14:textId="77777777" w:rsidTr="00104FF2">
        <w:tc>
          <w:tcPr>
            <w:tcW w:w="4531" w:type="dxa"/>
          </w:tcPr>
          <w:p w14:paraId="70C0C770" w14:textId="77777777" w:rsidR="00D05B8B" w:rsidRPr="00EA02C3" w:rsidRDefault="00D05B8B" w:rsidP="00104FF2">
            <w:r w:rsidRPr="00EA02C3">
              <w:rPr>
                <w:sz w:val="20"/>
                <w:szCs w:val="20"/>
              </w:rPr>
              <w:t>Hudinfektion över insticksstället</w:t>
            </w:r>
          </w:p>
        </w:tc>
        <w:tc>
          <w:tcPr>
            <w:tcW w:w="4531" w:type="dxa"/>
          </w:tcPr>
          <w:p w14:paraId="2EAFF745" w14:textId="77777777" w:rsidR="00D05B8B" w:rsidRPr="00EA02C3" w:rsidRDefault="00D05B8B" w:rsidP="00104FF2">
            <w:pPr>
              <w:rPr>
                <w:i/>
                <w:iCs/>
                <w:sz w:val="16"/>
                <w:szCs w:val="16"/>
                <w:highlight w:val="lightGray"/>
              </w:rPr>
            </w:pPr>
            <w:r w:rsidRPr="00EA02C3">
              <w:rPr>
                <w:highlight w:val="lightGray"/>
              </w:rPr>
              <w:t xml:space="preserve">Antikoagulantia* </w:t>
            </w:r>
          </w:p>
          <w:p w14:paraId="2FADD4FB" w14:textId="77777777" w:rsidR="00D05B8B" w:rsidRPr="00EA02C3" w:rsidRDefault="00D05B8B" w:rsidP="00104FF2">
            <w:pPr>
              <w:rPr>
                <w:highlight w:val="lightGray"/>
              </w:rPr>
            </w:pPr>
          </w:p>
        </w:tc>
      </w:tr>
      <w:tr w:rsidR="00D05B8B" w:rsidRPr="00EA02C3" w14:paraId="4BFAD031" w14:textId="77777777" w:rsidTr="00104FF2">
        <w:tc>
          <w:tcPr>
            <w:tcW w:w="4531" w:type="dxa"/>
          </w:tcPr>
          <w:p w14:paraId="667A7B7C" w14:textId="77777777" w:rsidR="00D05B8B" w:rsidRPr="00EA02C3" w:rsidRDefault="00D05B8B" w:rsidP="00104FF2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3E03917" w14:textId="77777777" w:rsidR="00D05B8B" w:rsidRPr="00EA02C3" w:rsidRDefault="00D05B8B" w:rsidP="00104FF2">
            <w:proofErr w:type="spellStart"/>
            <w:r w:rsidRPr="00EA02C3">
              <w:rPr>
                <w:highlight w:val="lightGray"/>
              </w:rPr>
              <w:t>Plasmaferesbehandling</w:t>
            </w:r>
            <w:proofErr w:type="spellEnd"/>
            <w:r w:rsidRPr="00EA02C3">
              <w:rPr>
                <w:highlight w:val="lightGray"/>
              </w:rPr>
              <w:t xml:space="preserve"> senaste 24 tim</w:t>
            </w:r>
          </w:p>
        </w:tc>
      </w:tr>
    </w:tbl>
    <w:p w14:paraId="5DBF17D9" w14:textId="77777777" w:rsidR="00235797" w:rsidRPr="00BC260B" w:rsidRDefault="00235797" w:rsidP="00DE6942"/>
    <w:p w14:paraId="0068F8BB" w14:textId="77777777" w:rsidR="00AD3F06" w:rsidRPr="00FA1B69" w:rsidRDefault="00AD3F06" w:rsidP="00AD3F06">
      <w:pPr>
        <w:rPr>
          <w:b/>
          <w:bCs/>
          <w:sz w:val="24"/>
          <w:szCs w:val="24"/>
        </w:rPr>
      </w:pPr>
      <w:r w:rsidRPr="00FA1B69">
        <w:rPr>
          <w:b/>
          <w:bCs/>
          <w:sz w:val="24"/>
          <w:szCs w:val="24"/>
        </w:rPr>
        <w:t>Referenser</w:t>
      </w:r>
    </w:p>
    <w:p w14:paraId="680E3468" w14:textId="0DA2D01A" w:rsidR="00E40D22" w:rsidRPr="00254F0C" w:rsidRDefault="00E40D22" w:rsidP="00AD5AB0">
      <w:pPr>
        <w:pStyle w:val="Liststycke"/>
        <w:numPr>
          <w:ilvl w:val="0"/>
          <w:numId w:val="7"/>
        </w:numPr>
        <w:rPr>
          <w:rFonts w:cstheme="minorHAnsi"/>
          <w:sz w:val="20"/>
          <w:szCs w:val="20"/>
          <w:lang w:val="en-US"/>
        </w:rPr>
      </w:pPr>
      <w:r w:rsidRPr="00254F0C">
        <w:rPr>
          <w:rFonts w:cstheme="minorHAnsi"/>
          <w:color w:val="212121"/>
          <w:sz w:val="20"/>
          <w:szCs w:val="20"/>
          <w:shd w:val="clear" w:color="auto" w:fill="FFFFFF"/>
          <w:lang w:val="en-US"/>
        </w:rPr>
        <w:t>Luciano RL et al. Update on the Native Kidney Biopsy: Core Curriculum 2019. Am J Kidney Dis. 2019 Mar;73(3):404-415.</w:t>
      </w:r>
    </w:p>
    <w:p w14:paraId="374CE33D" w14:textId="42C704C1" w:rsidR="008F6591" w:rsidRDefault="008F6591" w:rsidP="00AD5AB0">
      <w:pPr>
        <w:pStyle w:val="Liststycke"/>
        <w:numPr>
          <w:ilvl w:val="0"/>
          <w:numId w:val="7"/>
        </w:numPr>
        <w:rPr>
          <w:lang w:val="en-US"/>
        </w:rPr>
      </w:pPr>
      <w:r w:rsidRPr="008F6591">
        <w:rPr>
          <w:lang w:val="en-US"/>
        </w:rPr>
        <w:t>Marwah DS, Am J Kidney Dis. 1996;28:47–52.</w:t>
      </w:r>
    </w:p>
    <w:p w14:paraId="1FF242B5" w14:textId="1910CCD6" w:rsidR="00AD5AB0" w:rsidRDefault="00AD5AB0" w:rsidP="00AD5AB0">
      <w:pPr>
        <w:pStyle w:val="Liststycke"/>
        <w:numPr>
          <w:ilvl w:val="0"/>
          <w:numId w:val="7"/>
        </w:numPr>
        <w:rPr>
          <w:lang w:val="en-US"/>
        </w:rPr>
      </w:pPr>
      <w:r w:rsidRPr="00AD5AB0">
        <w:rPr>
          <w:lang w:val="en-US"/>
        </w:rPr>
        <w:t xml:space="preserve">Simard-Meilleur MC et al. Nephron Extra. </w:t>
      </w:r>
      <w:proofErr w:type="gramStart"/>
      <w:r w:rsidRPr="00AD5AB0">
        <w:rPr>
          <w:lang w:val="en-US"/>
        </w:rPr>
        <w:t>2014;4:42</w:t>
      </w:r>
      <w:proofErr w:type="gramEnd"/>
      <w:r w:rsidRPr="00AD5AB0">
        <w:rPr>
          <w:lang w:val="en-US"/>
        </w:rPr>
        <w:t xml:space="preserve">–49. 16. </w:t>
      </w:r>
    </w:p>
    <w:p w14:paraId="686707B1" w14:textId="77777777" w:rsidR="00AD5AB0" w:rsidRPr="00AD5AB0" w:rsidRDefault="00AD5AB0" w:rsidP="00AD5AB0">
      <w:pPr>
        <w:pStyle w:val="Liststycke"/>
        <w:numPr>
          <w:ilvl w:val="0"/>
          <w:numId w:val="7"/>
        </w:numPr>
        <w:rPr>
          <w:color w:val="000000" w:themeColor="text1"/>
          <w:lang w:val="en-US"/>
        </w:rPr>
      </w:pPr>
      <w:r w:rsidRPr="00AD5AB0">
        <w:rPr>
          <w:color w:val="000000" w:themeColor="text1"/>
          <w:lang w:val="en-US"/>
        </w:rPr>
        <w:t>Peters B Clinical Kidney Journal, Volume 13, Issue 4, August 2020, 654–659,</w:t>
      </w:r>
    </w:p>
    <w:p w14:paraId="471508FA" w14:textId="77777777" w:rsidR="00262B49" w:rsidRDefault="00AD5AB0" w:rsidP="00AD5AB0">
      <w:pPr>
        <w:pStyle w:val="Liststycke"/>
        <w:numPr>
          <w:ilvl w:val="0"/>
          <w:numId w:val="7"/>
        </w:numPr>
        <w:rPr>
          <w:color w:val="000000" w:themeColor="text1"/>
          <w:lang w:val="en-US"/>
        </w:rPr>
      </w:pPr>
      <w:proofErr w:type="spellStart"/>
      <w:r w:rsidRPr="00AD5AB0">
        <w:rPr>
          <w:color w:val="000000" w:themeColor="text1"/>
          <w:lang w:val="en-US"/>
        </w:rPr>
        <w:t>Andrulli</w:t>
      </w:r>
      <w:proofErr w:type="spellEnd"/>
      <w:r w:rsidRPr="00AD5AB0">
        <w:rPr>
          <w:color w:val="000000" w:themeColor="text1"/>
          <w:lang w:val="en-US"/>
        </w:rPr>
        <w:t xml:space="preserve"> S Nephrology Dialysis Transplantation, Volume 38, Issue 3, March 2023, 655–663</w:t>
      </w:r>
    </w:p>
    <w:p w14:paraId="630C09B0" w14:textId="6E3AF437" w:rsidR="00AD5AB0" w:rsidRPr="00B7347E" w:rsidRDefault="00262B49" w:rsidP="00262B49">
      <w:pPr>
        <w:pStyle w:val="Liststycke"/>
        <w:numPr>
          <w:ilvl w:val="0"/>
          <w:numId w:val="7"/>
        </w:numPr>
        <w:rPr>
          <w:color w:val="000000" w:themeColor="text1"/>
          <w:lang w:val="en-US"/>
        </w:rPr>
      </w:pPr>
      <w:r w:rsidRPr="00AD5AB0">
        <w:rPr>
          <w:lang w:val="en-US"/>
        </w:rPr>
        <w:t>Soares et al AJKD 2008 Dec 52(6)1079-1083</w:t>
      </w:r>
      <w:r w:rsidR="00AD5AB0" w:rsidRPr="00B7347E">
        <w:rPr>
          <w:color w:val="000000" w:themeColor="text1"/>
          <w:lang w:val="en-US"/>
        </w:rPr>
        <w:t xml:space="preserve"> </w:t>
      </w:r>
    </w:p>
    <w:p w14:paraId="0009105C" w14:textId="77777777" w:rsidR="00AD5AB0" w:rsidRDefault="00AD5AB0" w:rsidP="00AD5AB0">
      <w:pPr>
        <w:pStyle w:val="Liststycke"/>
        <w:numPr>
          <w:ilvl w:val="0"/>
          <w:numId w:val="7"/>
        </w:numPr>
        <w:rPr>
          <w:color w:val="000000" w:themeColor="text1"/>
          <w:lang w:val="en-US"/>
        </w:rPr>
      </w:pPr>
      <w:proofErr w:type="spellStart"/>
      <w:r w:rsidRPr="00AD5AB0">
        <w:rPr>
          <w:color w:val="000000" w:themeColor="text1"/>
          <w:lang w:val="en-US"/>
        </w:rPr>
        <w:t>Palsson</w:t>
      </w:r>
      <w:proofErr w:type="spellEnd"/>
      <w:r w:rsidRPr="00AD5AB0">
        <w:rPr>
          <w:color w:val="000000" w:themeColor="text1"/>
          <w:lang w:val="en-US"/>
        </w:rPr>
        <w:t xml:space="preserve"> R Kidney International Reports (2020) 5, 511–518</w:t>
      </w:r>
    </w:p>
    <w:p w14:paraId="2B77CBBC" w14:textId="23B46276" w:rsidR="00F71C5B" w:rsidRPr="00E40D22" w:rsidRDefault="00F71C5B" w:rsidP="00E40D22">
      <w:pPr>
        <w:pStyle w:val="Liststycke"/>
        <w:numPr>
          <w:ilvl w:val="0"/>
          <w:numId w:val="7"/>
        </w:numPr>
        <w:rPr>
          <w:lang w:val="en-US"/>
        </w:rPr>
      </w:pPr>
      <w:r w:rsidRPr="00F71C5B">
        <w:rPr>
          <w:lang w:val="en-US"/>
        </w:rPr>
        <w:t xml:space="preserve">Emilio </w:t>
      </w:r>
      <w:proofErr w:type="spellStart"/>
      <w:r w:rsidRPr="00F71C5B">
        <w:rPr>
          <w:lang w:val="en-US"/>
        </w:rPr>
        <w:t>Poggio</w:t>
      </w:r>
      <w:proofErr w:type="spellEnd"/>
      <w:r w:rsidRPr="00F71C5B">
        <w:rPr>
          <w:lang w:val="en-US"/>
        </w:rPr>
        <w:t xml:space="preserve"> C JASN Nov 2020; 15 (11) 1595-1602</w:t>
      </w:r>
    </w:p>
    <w:p w14:paraId="435C7D96" w14:textId="50F6AE19" w:rsidR="00AD5AB0" w:rsidRDefault="002D4551" w:rsidP="00AD5AB0">
      <w:pPr>
        <w:pStyle w:val="Liststycke"/>
        <w:numPr>
          <w:ilvl w:val="0"/>
          <w:numId w:val="7"/>
        </w:numPr>
        <w:rPr>
          <w:lang w:val="en-US"/>
        </w:rPr>
      </w:pPr>
      <w:r w:rsidRPr="005B7559">
        <w:rPr>
          <w:lang w:val="en-US"/>
        </w:rPr>
        <w:t xml:space="preserve">Patel J, JVIR </w:t>
      </w:r>
      <w:proofErr w:type="spellStart"/>
      <w:r w:rsidRPr="005B7559">
        <w:rPr>
          <w:lang w:val="en-US"/>
        </w:rPr>
        <w:t>intervent</w:t>
      </w:r>
      <w:proofErr w:type="spellEnd"/>
      <w:r w:rsidRPr="005B7559">
        <w:rPr>
          <w:lang w:val="en-US"/>
        </w:rPr>
        <w:t xml:space="preserve"> radiology 2012 vol 23(6) p 727-736</w:t>
      </w:r>
    </w:p>
    <w:p w14:paraId="1506AD1C" w14:textId="6C54188F" w:rsidR="002D4551" w:rsidRDefault="002D4551" w:rsidP="002D4551">
      <w:pPr>
        <w:pStyle w:val="Liststycke"/>
        <w:numPr>
          <w:ilvl w:val="0"/>
          <w:numId w:val="7"/>
        </w:numPr>
      </w:pPr>
      <w:r w:rsidRPr="00DE6942">
        <w:t>Lee</w:t>
      </w:r>
      <w:r>
        <w:t xml:space="preserve"> J</w:t>
      </w:r>
      <w:r w:rsidRPr="00DE6942">
        <w:t xml:space="preserve"> CKJ 2017, 10(4) </w:t>
      </w:r>
      <w:proofErr w:type="gramStart"/>
      <w:r w:rsidRPr="00DE6942">
        <w:t>573-577</w:t>
      </w:r>
      <w:proofErr w:type="gramEnd"/>
    </w:p>
    <w:p w14:paraId="13F8C7AA" w14:textId="3B8BBBB5" w:rsidR="00F71C5B" w:rsidRPr="00F71C5B" w:rsidRDefault="00F71C5B" w:rsidP="00F71C5B">
      <w:pPr>
        <w:pStyle w:val="Liststycke"/>
        <w:numPr>
          <w:ilvl w:val="0"/>
          <w:numId w:val="7"/>
        </w:numPr>
        <w:rPr>
          <w:lang w:val="en-US"/>
        </w:rPr>
      </w:pPr>
      <w:r w:rsidRPr="00F71C5B">
        <w:rPr>
          <w:lang w:val="en-US"/>
        </w:rPr>
        <w:t xml:space="preserve">Monahan </w:t>
      </w:r>
      <w:proofErr w:type="spellStart"/>
      <w:r w:rsidRPr="00F71C5B">
        <w:rPr>
          <w:lang w:val="en-US"/>
        </w:rPr>
        <w:t>Abdom</w:t>
      </w:r>
      <w:proofErr w:type="spellEnd"/>
      <w:r w:rsidRPr="00F71C5B">
        <w:rPr>
          <w:lang w:val="en-US"/>
        </w:rPr>
        <w:t xml:space="preserve"> Radiology 2019 </w:t>
      </w:r>
      <w:proofErr w:type="spellStart"/>
      <w:r w:rsidRPr="00F71C5B">
        <w:rPr>
          <w:lang w:val="en-US"/>
        </w:rPr>
        <w:t>jun</w:t>
      </w:r>
      <w:proofErr w:type="spellEnd"/>
      <w:r w:rsidRPr="00F71C5B">
        <w:rPr>
          <w:lang w:val="en-US"/>
        </w:rPr>
        <w:t>; 44(6) 2316-2322</w:t>
      </w:r>
    </w:p>
    <w:p w14:paraId="6FCA62D1" w14:textId="77777777" w:rsidR="002D4551" w:rsidRDefault="002D4551" w:rsidP="002D4551">
      <w:pPr>
        <w:pStyle w:val="Liststycke"/>
        <w:numPr>
          <w:ilvl w:val="0"/>
          <w:numId w:val="7"/>
        </w:numPr>
        <w:rPr>
          <w:lang w:val="en-US"/>
        </w:rPr>
      </w:pPr>
      <w:r w:rsidRPr="002D4551">
        <w:rPr>
          <w:lang w:val="en-US"/>
        </w:rPr>
        <w:t xml:space="preserve">Mackinnon et al NDT 2008 Vol 23 (11) 3566-3570 </w:t>
      </w:r>
    </w:p>
    <w:p w14:paraId="68017E1E" w14:textId="77777777" w:rsidR="002D4551" w:rsidRDefault="002D4551" w:rsidP="002D4551">
      <w:pPr>
        <w:pStyle w:val="Liststycke"/>
        <w:numPr>
          <w:ilvl w:val="0"/>
          <w:numId w:val="7"/>
        </w:numPr>
        <w:rPr>
          <w:lang w:val="en-US"/>
        </w:rPr>
      </w:pPr>
      <w:proofErr w:type="spellStart"/>
      <w:r w:rsidRPr="002D4551">
        <w:rPr>
          <w:lang w:val="en-US"/>
        </w:rPr>
        <w:t>Potretzke</w:t>
      </w:r>
      <w:proofErr w:type="spellEnd"/>
      <w:r w:rsidRPr="002D4551">
        <w:rPr>
          <w:lang w:val="en-US"/>
        </w:rPr>
        <w:t xml:space="preserve"> AJR  2019, July, 213(1) 211-215</w:t>
      </w:r>
    </w:p>
    <w:p w14:paraId="58E99780" w14:textId="730CD02B" w:rsidR="006354D3" w:rsidRPr="00DC2E77" w:rsidRDefault="006354D3" w:rsidP="006354D3">
      <w:pPr>
        <w:pStyle w:val="Liststycke"/>
        <w:numPr>
          <w:ilvl w:val="0"/>
          <w:numId w:val="7"/>
        </w:numPr>
        <w:rPr>
          <w:sz w:val="20"/>
          <w:szCs w:val="20"/>
          <w:lang w:val="en-US"/>
        </w:rPr>
      </w:pPr>
      <w:r w:rsidRPr="00DC2E77">
        <w:rPr>
          <w:sz w:val="20"/>
          <w:szCs w:val="20"/>
          <w:lang w:val="en-US"/>
        </w:rPr>
        <w:t>(https://sfai.se/wp</w:t>
      </w:r>
      <w:r>
        <w:rPr>
          <w:sz w:val="20"/>
          <w:szCs w:val="20"/>
          <w:lang w:val="en-US"/>
        </w:rPr>
        <w:t>-</w:t>
      </w:r>
      <w:r w:rsidRPr="00DC2E77">
        <w:rPr>
          <w:sz w:val="20"/>
          <w:szCs w:val="20"/>
          <w:lang w:val="en-US"/>
        </w:rPr>
        <w:t>content/uploads/2022/12/Regional_anaesthesia_in_patients_on_antithrombotic.4-1.pdf)</w:t>
      </w:r>
    </w:p>
    <w:p w14:paraId="42AF4E70" w14:textId="1FE42DB9" w:rsidR="002D4551" w:rsidRPr="005B7559" w:rsidRDefault="002D4551" w:rsidP="002D4551">
      <w:pPr>
        <w:pStyle w:val="Liststycke"/>
        <w:numPr>
          <w:ilvl w:val="0"/>
          <w:numId w:val="7"/>
        </w:numPr>
      </w:pPr>
      <w:r w:rsidRPr="005B7559">
        <w:t xml:space="preserve">Burger W J </w:t>
      </w:r>
      <w:proofErr w:type="spellStart"/>
      <w:r w:rsidRPr="005B7559">
        <w:t>Int</w:t>
      </w:r>
      <w:proofErr w:type="spellEnd"/>
      <w:r w:rsidRPr="005B7559">
        <w:t xml:space="preserve"> Med 2005</w:t>
      </w:r>
      <w:r>
        <w:t xml:space="preserve"> </w:t>
      </w:r>
      <w:r w:rsidRPr="005B7559">
        <w:t>257(5)</w:t>
      </w:r>
      <w:proofErr w:type="gramStart"/>
      <w:r w:rsidRPr="005B7559">
        <w:t>399-414</w:t>
      </w:r>
      <w:proofErr w:type="gramEnd"/>
    </w:p>
    <w:p w14:paraId="654D26BC" w14:textId="77777777" w:rsidR="002D4551" w:rsidRDefault="002D4551" w:rsidP="002D4551">
      <w:pPr>
        <w:pStyle w:val="Liststycke"/>
        <w:numPr>
          <w:ilvl w:val="0"/>
          <w:numId w:val="7"/>
        </w:numPr>
        <w:rPr>
          <w:lang w:val="en-US"/>
        </w:rPr>
      </w:pPr>
      <w:r w:rsidRPr="002D4551">
        <w:rPr>
          <w:lang w:val="en-US"/>
        </w:rPr>
        <w:t>Vial</w:t>
      </w:r>
      <w:r w:rsidRPr="002D4551" w:rsidDel="002D4551">
        <w:rPr>
          <w:lang w:val="en-US"/>
        </w:rPr>
        <w:t xml:space="preserve"> </w:t>
      </w:r>
      <w:r w:rsidRPr="002D4551">
        <w:rPr>
          <w:lang w:val="en-US"/>
        </w:rPr>
        <w:t xml:space="preserve">et al Adv </w:t>
      </w:r>
      <w:proofErr w:type="spellStart"/>
      <w:r w:rsidRPr="002D4551">
        <w:rPr>
          <w:lang w:val="en-US"/>
        </w:rPr>
        <w:t>Prostagl</w:t>
      </w:r>
      <w:proofErr w:type="spellEnd"/>
      <w:r w:rsidRPr="002D4551">
        <w:rPr>
          <w:lang w:val="en-US"/>
        </w:rPr>
        <w:t xml:space="preserve"> </w:t>
      </w:r>
      <w:proofErr w:type="spellStart"/>
      <w:r w:rsidRPr="002D4551">
        <w:rPr>
          <w:lang w:val="en-US"/>
        </w:rPr>
        <w:t>Thromb</w:t>
      </w:r>
      <w:proofErr w:type="spellEnd"/>
      <w:r w:rsidRPr="002D4551">
        <w:rPr>
          <w:lang w:val="en-US"/>
        </w:rPr>
        <w:t xml:space="preserve">. </w:t>
      </w:r>
      <w:proofErr w:type="spellStart"/>
      <w:r w:rsidRPr="002D4551">
        <w:rPr>
          <w:lang w:val="en-US"/>
        </w:rPr>
        <w:t>Leukotr</w:t>
      </w:r>
      <w:proofErr w:type="spellEnd"/>
      <w:r w:rsidRPr="002D4551">
        <w:rPr>
          <w:lang w:val="en-US"/>
        </w:rPr>
        <w:t xml:space="preserve"> Res 1991 21A 157-160</w:t>
      </w:r>
    </w:p>
    <w:p w14:paraId="2C8A1C53" w14:textId="1B1EA951" w:rsidR="00E40D22" w:rsidRPr="005B7559" w:rsidRDefault="00E40D22" w:rsidP="002D4551">
      <w:pPr>
        <w:pStyle w:val="Liststycke"/>
        <w:numPr>
          <w:ilvl w:val="0"/>
          <w:numId w:val="7"/>
        </w:numPr>
        <w:rPr>
          <w:sz w:val="20"/>
          <w:szCs w:val="20"/>
          <w:lang w:val="en-US"/>
        </w:rPr>
      </w:pPr>
      <w:proofErr w:type="spellStart"/>
      <w:r w:rsidRPr="005B7559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MacGinley</w:t>
      </w:r>
      <w:proofErr w:type="spellEnd"/>
      <w:r w:rsidRPr="005B7559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R, et al KHA-CARI Guideline recommendations for renal biopsy. Nephrology (Carlton). 2019 Dec;24(12):1205-1213. </w:t>
      </w:r>
    </w:p>
    <w:p w14:paraId="5C0DFF86" w14:textId="28940FF5" w:rsidR="002D4551" w:rsidRPr="005B7559" w:rsidRDefault="002D4551" w:rsidP="002D4551">
      <w:pPr>
        <w:pStyle w:val="Liststycke"/>
        <w:numPr>
          <w:ilvl w:val="0"/>
          <w:numId w:val="7"/>
        </w:numPr>
        <w:rPr>
          <w:lang w:val="en-US"/>
        </w:rPr>
      </w:pPr>
      <w:r w:rsidRPr="00104FF2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McQuarrie </w:t>
      </w:r>
      <w:proofErr w:type="spellStart"/>
      <w:proofErr w:type="gramStart"/>
      <w:r w:rsidRPr="00104FF2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EP,et</w:t>
      </w:r>
      <w:proofErr w:type="spellEnd"/>
      <w:proofErr w:type="gramEnd"/>
      <w:r w:rsidRPr="00104FF2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al; Scottish Renal Biopsy Registry. </w:t>
      </w:r>
      <w:r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NDT</w:t>
      </w:r>
      <w:r w:rsidRPr="00104FF2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. 2009 May;24(5):1524-8</w:t>
      </w:r>
    </w:p>
    <w:p w14:paraId="1CA70EC5" w14:textId="77777777" w:rsidR="002D4551" w:rsidRPr="002D4551" w:rsidRDefault="002D4551" w:rsidP="002D4551">
      <w:pPr>
        <w:pStyle w:val="Liststycke"/>
        <w:numPr>
          <w:ilvl w:val="0"/>
          <w:numId w:val="7"/>
        </w:numPr>
        <w:rPr>
          <w:lang w:val="en-US"/>
        </w:rPr>
      </w:pPr>
      <w:r w:rsidRPr="002D4551">
        <w:rPr>
          <w:lang w:val="en-US"/>
        </w:rPr>
        <w:t>Fontana F, J Nephrol 2023 Mar;36(2):475-483</w:t>
      </w:r>
    </w:p>
    <w:p w14:paraId="0DCD6A94" w14:textId="77777777" w:rsidR="002D4551" w:rsidRPr="002D4551" w:rsidRDefault="002D4551" w:rsidP="002D4551">
      <w:pPr>
        <w:pStyle w:val="Liststycke"/>
        <w:numPr>
          <w:ilvl w:val="0"/>
          <w:numId w:val="7"/>
        </w:numPr>
        <w:rPr>
          <w:lang w:val="en-US"/>
        </w:rPr>
      </w:pPr>
      <w:r w:rsidRPr="002D4551">
        <w:rPr>
          <w:lang w:val="en-US"/>
        </w:rPr>
        <w:t xml:space="preserve">Pieper M et al J </w:t>
      </w:r>
      <w:proofErr w:type="spellStart"/>
      <w:r w:rsidRPr="002D4551">
        <w:rPr>
          <w:lang w:val="en-US"/>
        </w:rPr>
        <w:t>Vasc</w:t>
      </w:r>
      <w:proofErr w:type="spellEnd"/>
      <w:r w:rsidRPr="002D4551">
        <w:rPr>
          <w:lang w:val="en-US"/>
        </w:rPr>
        <w:t xml:space="preserve"> </w:t>
      </w:r>
      <w:proofErr w:type="spellStart"/>
      <w:r w:rsidRPr="002D4551">
        <w:rPr>
          <w:lang w:val="en-US"/>
        </w:rPr>
        <w:t>Interv</w:t>
      </w:r>
      <w:proofErr w:type="spellEnd"/>
      <w:r w:rsidRPr="002D4551">
        <w:rPr>
          <w:lang w:val="en-US"/>
        </w:rPr>
        <w:t xml:space="preserve"> </w:t>
      </w:r>
      <w:proofErr w:type="spellStart"/>
      <w:r w:rsidRPr="002D4551">
        <w:rPr>
          <w:lang w:val="en-US"/>
        </w:rPr>
        <w:t>Readiolo</w:t>
      </w:r>
      <w:proofErr w:type="spellEnd"/>
      <w:r w:rsidRPr="002D4551">
        <w:rPr>
          <w:lang w:val="en-US"/>
        </w:rPr>
        <w:t xml:space="preserve"> 2017 Jan 28(1) 88-93</w:t>
      </w:r>
    </w:p>
    <w:p w14:paraId="73194B7E" w14:textId="77777777" w:rsidR="000F062A" w:rsidRDefault="000F062A" w:rsidP="000F062A">
      <w:pPr>
        <w:pStyle w:val="Liststycke"/>
        <w:numPr>
          <w:ilvl w:val="0"/>
          <w:numId w:val="7"/>
        </w:numPr>
      </w:pPr>
      <w:proofErr w:type="spellStart"/>
      <w:r w:rsidRPr="00B77CC1">
        <w:t>Kuiper</w:t>
      </w:r>
      <w:proofErr w:type="spellEnd"/>
      <w:r w:rsidRPr="00B77CC1">
        <w:t xml:space="preserve"> G et al </w:t>
      </w:r>
      <w:proofErr w:type="spellStart"/>
      <w:r w:rsidRPr="00B77CC1">
        <w:t>Transp</w:t>
      </w:r>
      <w:proofErr w:type="spellEnd"/>
      <w:r w:rsidRPr="00B77CC1">
        <w:t xml:space="preserve"> </w:t>
      </w:r>
      <w:proofErr w:type="spellStart"/>
      <w:r w:rsidRPr="00B77CC1">
        <w:t>Int</w:t>
      </w:r>
      <w:proofErr w:type="spellEnd"/>
      <w:r w:rsidRPr="00B77CC1">
        <w:t xml:space="preserve"> 6 </w:t>
      </w:r>
      <w:proofErr w:type="gramStart"/>
      <w:r w:rsidRPr="00B77CC1">
        <w:t>Nov</w:t>
      </w:r>
      <w:proofErr w:type="gramEnd"/>
      <w:r w:rsidRPr="00B77CC1">
        <w:t xml:space="preserve"> 2017 </w:t>
      </w:r>
    </w:p>
    <w:p w14:paraId="242AA996" w14:textId="654AA234" w:rsidR="00F71C5B" w:rsidRPr="005B7559" w:rsidRDefault="00F71C5B" w:rsidP="00F71C5B">
      <w:pPr>
        <w:pStyle w:val="Liststycke"/>
        <w:numPr>
          <w:ilvl w:val="0"/>
          <w:numId w:val="7"/>
        </w:numPr>
        <w:rPr>
          <w:lang w:val="en-US"/>
        </w:rPr>
      </w:pPr>
      <w:r w:rsidRPr="00F71C5B">
        <w:rPr>
          <w:lang w:val="en-US"/>
        </w:rPr>
        <w:t xml:space="preserve">Whittier W et al 2018 Clin Kidney J 2018 </w:t>
      </w:r>
      <w:proofErr w:type="spellStart"/>
      <w:r w:rsidRPr="00F71C5B">
        <w:rPr>
          <w:lang w:val="en-US"/>
        </w:rPr>
        <w:t>okt</w:t>
      </w:r>
      <w:proofErr w:type="spellEnd"/>
      <w:r w:rsidRPr="00F71C5B">
        <w:rPr>
          <w:lang w:val="en-US"/>
        </w:rPr>
        <w:t xml:space="preserve">; 11(5) 616-622 </w:t>
      </w:r>
    </w:p>
    <w:p w14:paraId="309B9E23" w14:textId="77777777" w:rsidR="000F062A" w:rsidRDefault="000F062A" w:rsidP="000F062A">
      <w:pPr>
        <w:pStyle w:val="Liststycke"/>
        <w:numPr>
          <w:ilvl w:val="0"/>
          <w:numId w:val="7"/>
        </w:numPr>
      </w:pPr>
      <w:proofErr w:type="spellStart"/>
      <w:r w:rsidRPr="006D1583">
        <w:t>Baffour</w:t>
      </w:r>
      <w:proofErr w:type="spellEnd"/>
      <w:r w:rsidRPr="006D1583">
        <w:t xml:space="preserve"> et al J </w:t>
      </w:r>
      <w:proofErr w:type="spellStart"/>
      <w:r w:rsidRPr="006D1583">
        <w:t>Vasc</w:t>
      </w:r>
      <w:proofErr w:type="spellEnd"/>
      <w:r w:rsidRPr="006D1583">
        <w:t xml:space="preserve"> </w:t>
      </w:r>
      <w:proofErr w:type="spellStart"/>
      <w:r w:rsidRPr="006D1583">
        <w:t>Inte</w:t>
      </w:r>
      <w:r>
        <w:t>rv</w:t>
      </w:r>
      <w:proofErr w:type="spellEnd"/>
      <w:r>
        <w:t xml:space="preserve"> Rad 2017feb 28(2) </w:t>
      </w:r>
      <w:proofErr w:type="gramStart"/>
      <w:r>
        <w:t>188-194</w:t>
      </w:r>
      <w:proofErr w:type="gramEnd"/>
    </w:p>
    <w:p w14:paraId="6AD33995" w14:textId="77777777" w:rsidR="000F062A" w:rsidRPr="00B77CC1" w:rsidRDefault="000F062A" w:rsidP="000F062A">
      <w:pPr>
        <w:pStyle w:val="Liststycke"/>
        <w:numPr>
          <w:ilvl w:val="0"/>
          <w:numId w:val="7"/>
        </w:numPr>
      </w:pPr>
      <w:proofErr w:type="spellStart"/>
      <w:r w:rsidRPr="00B77CC1">
        <w:lastRenderedPageBreak/>
        <w:t>Piccoli</w:t>
      </w:r>
      <w:proofErr w:type="spellEnd"/>
      <w:r w:rsidRPr="00B77CC1">
        <w:t xml:space="preserve"> GB et al BJOG Ma</w:t>
      </w:r>
      <w:r>
        <w:t xml:space="preserve">r </w:t>
      </w:r>
      <w:r w:rsidRPr="00FE473C">
        <w:t>2013</w:t>
      </w:r>
      <w:r>
        <w:t xml:space="preserve">;120 (4) </w:t>
      </w:r>
      <w:proofErr w:type="gramStart"/>
      <w:r>
        <w:t>412-427</w:t>
      </w:r>
      <w:proofErr w:type="gramEnd"/>
    </w:p>
    <w:p w14:paraId="633F7659" w14:textId="77777777" w:rsidR="000F062A" w:rsidRPr="000F062A" w:rsidRDefault="000F062A" w:rsidP="000F062A">
      <w:pPr>
        <w:pStyle w:val="Liststycke"/>
        <w:numPr>
          <w:ilvl w:val="0"/>
          <w:numId w:val="7"/>
        </w:numPr>
        <w:rPr>
          <w:lang w:val="en-US"/>
        </w:rPr>
      </w:pPr>
      <w:proofErr w:type="spellStart"/>
      <w:r w:rsidRPr="000F062A">
        <w:rPr>
          <w:lang w:val="en-US"/>
        </w:rPr>
        <w:t>Yazici</w:t>
      </w:r>
      <w:proofErr w:type="spellEnd"/>
      <w:r w:rsidRPr="000F062A">
        <w:rPr>
          <w:lang w:val="en-US"/>
        </w:rPr>
        <w:t xml:space="preserve"> H et al J Nephrol. 2023 Sep 4.</w:t>
      </w:r>
    </w:p>
    <w:p w14:paraId="397DBBF3" w14:textId="77777777" w:rsidR="000F062A" w:rsidRPr="000F062A" w:rsidRDefault="000F062A" w:rsidP="000F062A">
      <w:pPr>
        <w:pStyle w:val="Liststycke"/>
        <w:numPr>
          <w:ilvl w:val="0"/>
          <w:numId w:val="7"/>
        </w:numPr>
        <w:rPr>
          <w:lang w:val="en-US"/>
        </w:rPr>
      </w:pPr>
      <w:r w:rsidRPr="000F062A">
        <w:rPr>
          <w:lang w:val="en-US"/>
        </w:rPr>
        <w:t xml:space="preserve">Lim CC, et al. Int </w:t>
      </w:r>
      <w:proofErr w:type="spellStart"/>
      <w:r w:rsidRPr="000F062A">
        <w:rPr>
          <w:lang w:val="en-US"/>
        </w:rPr>
        <w:t>Urol</w:t>
      </w:r>
      <w:proofErr w:type="spellEnd"/>
      <w:r w:rsidRPr="000F062A">
        <w:rPr>
          <w:lang w:val="en-US"/>
        </w:rPr>
        <w:t xml:space="preserve"> Nephrol. </w:t>
      </w:r>
      <w:proofErr w:type="gramStart"/>
      <w:r w:rsidRPr="000F062A">
        <w:rPr>
          <w:lang w:val="en-US"/>
        </w:rPr>
        <w:t>2019;51:995</w:t>
      </w:r>
      <w:proofErr w:type="gramEnd"/>
      <w:r w:rsidRPr="000F062A">
        <w:rPr>
          <w:lang w:val="en-US"/>
        </w:rPr>
        <w:t>–1004.</w:t>
      </w:r>
    </w:p>
    <w:p w14:paraId="5E8A0773" w14:textId="71D4B364" w:rsidR="000F062A" w:rsidRPr="006A4DF6" w:rsidRDefault="000F062A" w:rsidP="000F062A">
      <w:pPr>
        <w:pStyle w:val="Liststycke"/>
        <w:numPr>
          <w:ilvl w:val="0"/>
          <w:numId w:val="7"/>
        </w:numPr>
        <w:rPr>
          <w:lang w:val="en-US"/>
        </w:rPr>
      </w:pPr>
      <w:r w:rsidRPr="000F062A">
        <w:rPr>
          <w:lang w:val="en-US"/>
        </w:rPr>
        <w:t>Peters B et al Nephrolog</w:t>
      </w:r>
      <w:r w:rsidR="006A4DF6">
        <w:rPr>
          <w:lang w:val="en-US"/>
        </w:rPr>
        <w:t>y</w:t>
      </w:r>
      <w:r w:rsidRPr="000F062A">
        <w:rPr>
          <w:lang w:val="en-US"/>
        </w:rPr>
        <w:t xml:space="preserve">. </w:t>
      </w:r>
      <w:proofErr w:type="gramStart"/>
      <w:r w:rsidRPr="006A4DF6">
        <w:rPr>
          <w:lang w:val="en-US"/>
        </w:rPr>
        <w:t>2018;23:366</w:t>
      </w:r>
      <w:proofErr w:type="gramEnd"/>
      <w:r w:rsidRPr="006A4DF6">
        <w:rPr>
          <w:lang w:val="en-US"/>
        </w:rPr>
        <w:t>–370.</w:t>
      </w:r>
    </w:p>
    <w:p w14:paraId="54441DDE" w14:textId="77777777" w:rsidR="000F062A" w:rsidRPr="000F062A" w:rsidRDefault="000F062A" w:rsidP="000F062A">
      <w:pPr>
        <w:pStyle w:val="Liststycke"/>
        <w:numPr>
          <w:ilvl w:val="0"/>
          <w:numId w:val="7"/>
        </w:numPr>
        <w:rPr>
          <w:lang w:val="en-US"/>
        </w:rPr>
      </w:pPr>
      <w:proofErr w:type="spellStart"/>
      <w:r w:rsidRPr="00B77CC1">
        <w:t>Stratta</w:t>
      </w:r>
      <w:proofErr w:type="spellEnd"/>
      <w:r w:rsidRPr="00B77CC1">
        <w:t xml:space="preserve"> P, et al. </w:t>
      </w:r>
      <w:proofErr w:type="spellStart"/>
      <w:r w:rsidRPr="00B77CC1">
        <w:t>Eur</w:t>
      </w:r>
      <w:proofErr w:type="spellEnd"/>
      <w:r w:rsidRPr="00B77CC1">
        <w:t xml:space="preserve"> J </w:t>
      </w:r>
      <w:proofErr w:type="spellStart"/>
      <w:r w:rsidRPr="00B77CC1">
        <w:t>Clin</w:t>
      </w:r>
      <w:proofErr w:type="spellEnd"/>
      <w:r w:rsidRPr="00B77CC1">
        <w:t xml:space="preserve"> </w:t>
      </w:r>
      <w:proofErr w:type="spellStart"/>
      <w:r w:rsidRPr="00B77CC1">
        <w:t>Invest</w:t>
      </w:r>
      <w:proofErr w:type="spellEnd"/>
      <w:r w:rsidRPr="00B77CC1">
        <w:t xml:space="preserve">. </w:t>
      </w:r>
      <w:proofErr w:type="gramStart"/>
      <w:r w:rsidRPr="000F062A">
        <w:rPr>
          <w:lang w:val="en-US"/>
        </w:rPr>
        <w:t>2007;37:954</w:t>
      </w:r>
      <w:proofErr w:type="gramEnd"/>
      <w:r w:rsidRPr="000F062A">
        <w:rPr>
          <w:lang w:val="en-US"/>
        </w:rPr>
        <w:t>–963.</w:t>
      </w:r>
    </w:p>
    <w:p w14:paraId="3C4324C9" w14:textId="77777777" w:rsidR="000F062A" w:rsidRPr="005B7559" w:rsidRDefault="000F062A" w:rsidP="000F062A">
      <w:pPr>
        <w:pStyle w:val="Liststycke"/>
        <w:numPr>
          <w:ilvl w:val="0"/>
          <w:numId w:val="7"/>
        </w:numPr>
      </w:pPr>
      <w:proofErr w:type="spellStart"/>
      <w:r w:rsidRPr="005B7559">
        <w:t>Manno</w:t>
      </w:r>
      <w:proofErr w:type="spellEnd"/>
      <w:r w:rsidRPr="005B7559">
        <w:t xml:space="preserve"> C et </w:t>
      </w:r>
      <w:proofErr w:type="gramStart"/>
      <w:r w:rsidRPr="005B7559">
        <w:t>al  AJKD</w:t>
      </w:r>
      <w:proofErr w:type="gramEnd"/>
      <w:r w:rsidRPr="005B7559">
        <w:t xml:space="preserve"> 2011;57:850-855</w:t>
      </w:r>
    </w:p>
    <w:p w14:paraId="78E06966" w14:textId="77777777" w:rsidR="000F062A" w:rsidRPr="000F062A" w:rsidRDefault="000F062A" w:rsidP="000F062A">
      <w:pPr>
        <w:pStyle w:val="Liststycke"/>
        <w:numPr>
          <w:ilvl w:val="0"/>
          <w:numId w:val="7"/>
        </w:numPr>
        <w:rPr>
          <w:lang w:val="en-US"/>
        </w:rPr>
      </w:pPr>
      <w:r w:rsidRPr="000F062A">
        <w:rPr>
          <w:lang w:val="en-US"/>
        </w:rPr>
        <w:t>Leclerc et al Kidney Int Rep (2020) 5, 1180–1187</w:t>
      </w:r>
    </w:p>
    <w:p w14:paraId="6C76DB21" w14:textId="77777777" w:rsidR="000F062A" w:rsidRPr="001962DD" w:rsidRDefault="000F062A" w:rsidP="000F062A">
      <w:pPr>
        <w:pStyle w:val="Liststycke"/>
        <w:numPr>
          <w:ilvl w:val="0"/>
          <w:numId w:val="7"/>
        </w:numPr>
      </w:pPr>
      <w:proofErr w:type="spellStart"/>
      <w:r w:rsidRPr="000F062A">
        <w:rPr>
          <w:lang w:val="en-US"/>
        </w:rPr>
        <w:t>Athavale</w:t>
      </w:r>
      <w:proofErr w:type="spellEnd"/>
      <w:r w:rsidRPr="000F062A">
        <w:rPr>
          <w:lang w:val="en-US"/>
        </w:rPr>
        <w:t xml:space="preserve"> A et al </w:t>
      </w:r>
      <w:r w:rsidRPr="005B7559">
        <w:rPr>
          <w:i/>
          <w:iCs/>
          <w:lang w:val="en-US"/>
        </w:rPr>
        <w:t>BMC Nephrol</w:t>
      </w:r>
      <w:r w:rsidRPr="000F062A">
        <w:rPr>
          <w:lang w:val="en-US"/>
        </w:rPr>
        <w:t xml:space="preserve">. </w:t>
      </w:r>
      <w:proofErr w:type="gramStart"/>
      <w:r w:rsidRPr="001962DD">
        <w:t>2019;20:413</w:t>
      </w:r>
      <w:proofErr w:type="gramEnd"/>
      <w:r w:rsidRPr="001962DD">
        <w:t>.</w:t>
      </w:r>
    </w:p>
    <w:p w14:paraId="49586372" w14:textId="77777777" w:rsidR="000F062A" w:rsidRDefault="000F062A" w:rsidP="000F062A">
      <w:pPr>
        <w:pStyle w:val="Liststycke"/>
        <w:numPr>
          <w:ilvl w:val="0"/>
          <w:numId w:val="7"/>
        </w:numPr>
      </w:pPr>
      <w:proofErr w:type="spellStart"/>
      <w:r>
        <w:t>Tweetorial</w:t>
      </w:r>
      <w:proofErr w:type="spellEnd"/>
      <w:r>
        <w:t xml:space="preserve"> ERA 210412 Antikoagulantia/ </w:t>
      </w:r>
      <w:proofErr w:type="spellStart"/>
      <w:r>
        <w:t>Njubiopsi</w:t>
      </w:r>
      <w:proofErr w:type="spellEnd"/>
      <w:r>
        <w:t xml:space="preserve"> </w:t>
      </w:r>
      <w:proofErr w:type="spellStart"/>
      <w:r>
        <w:t>Poliklinisering</w:t>
      </w:r>
      <w:proofErr w:type="spellEnd"/>
    </w:p>
    <w:p w14:paraId="4662B1B9" w14:textId="0F5BF5D3" w:rsidR="002D4551" w:rsidRDefault="001A3BEC" w:rsidP="002D4551">
      <w:pPr>
        <w:pStyle w:val="Liststycke"/>
        <w:numPr>
          <w:ilvl w:val="0"/>
          <w:numId w:val="7"/>
        </w:numPr>
      </w:pPr>
      <w:r w:rsidRPr="001A3BEC">
        <w:t>https://janusinfo.se/behandling/expertgruppsutlatanden/hjartochkarlsjukdomar/hjartochkarlsjukdomar/oralaantitrombotiskalakemedelvidblodningochinforkirurgihosvuxna.5.636fcf0c186707f25a240334.html vuxna - Janusinfo.se</w:t>
      </w:r>
    </w:p>
    <w:p w14:paraId="2CC5321D" w14:textId="77777777" w:rsidR="000F062A" w:rsidRPr="00393FE7" w:rsidRDefault="000F062A" w:rsidP="000F062A">
      <w:pPr>
        <w:pStyle w:val="Liststycke"/>
        <w:numPr>
          <w:ilvl w:val="0"/>
          <w:numId w:val="7"/>
        </w:numPr>
      </w:pPr>
      <w:proofErr w:type="spellStart"/>
      <w:r w:rsidRPr="00393FE7">
        <w:t>BoF</w:t>
      </w:r>
      <w:proofErr w:type="spellEnd"/>
      <w:r w:rsidRPr="00393FE7">
        <w:t xml:space="preserve"> - Blödningsstatus och utsättning av antikoagulantia inför ingrepp vid VO Bild och Funktion, SUS (skane.se)</w:t>
      </w:r>
    </w:p>
    <w:p w14:paraId="2A404E87" w14:textId="77777777" w:rsidR="000F062A" w:rsidRPr="000F062A" w:rsidRDefault="000F062A" w:rsidP="000F062A">
      <w:pPr>
        <w:pStyle w:val="Liststycke"/>
        <w:numPr>
          <w:ilvl w:val="0"/>
          <w:numId w:val="7"/>
        </w:numPr>
        <w:rPr>
          <w:lang w:val="en-US"/>
        </w:rPr>
      </w:pPr>
      <w:proofErr w:type="spellStart"/>
      <w:r w:rsidRPr="000F062A">
        <w:rPr>
          <w:lang w:val="en-US"/>
        </w:rPr>
        <w:t>Roccatello</w:t>
      </w:r>
      <w:proofErr w:type="spellEnd"/>
      <w:r w:rsidRPr="000F062A">
        <w:rPr>
          <w:lang w:val="en-US"/>
        </w:rPr>
        <w:t xml:space="preserve"> D et al</w:t>
      </w:r>
      <w:r w:rsidRPr="000F062A" w:rsidDel="00964D77">
        <w:rPr>
          <w:lang w:val="en-US"/>
        </w:rPr>
        <w:t xml:space="preserve"> </w:t>
      </w:r>
      <w:r w:rsidRPr="000F062A">
        <w:rPr>
          <w:i/>
          <w:iCs/>
          <w:lang w:val="en-US"/>
        </w:rPr>
        <w:t>BMJ Open</w:t>
      </w:r>
      <w:r w:rsidRPr="000F062A">
        <w:rPr>
          <w:lang w:val="en-US"/>
        </w:rPr>
        <w:t> 2017; 7: e015243 </w:t>
      </w:r>
    </w:p>
    <w:p w14:paraId="3AD98B25" w14:textId="553D850A" w:rsidR="000F062A" w:rsidRPr="000F062A" w:rsidRDefault="000F062A" w:rsidP="000F062A">
      <w:pPr>
        <w:pStyle w:val="Liststycke"/>
        <w:numPr>
          <w:ilvl w:val="0"/>
          <w:numId w:val="7"/>
        </w:numPr>
        <w:rPr>
          <w:lang w:val="en-US"/>
        </w:rPr>
      </w:pPr>
      <w:r w:rsidRPr="000F062A">
        <w:rPr>
          <w:lang w:val="en-US"/>
        </w:rPr>
        <w:t>Carrington CP. et al.</w:t>
      </w:r>
      <w:r w:rsidRPr="000F062A" w:rsidDel="00964D77">
        <w:rPr>
          <w:lang w:val="en-US"/>
        </w:rPr>
        <w:t xml:space="preserve"> </w:t>
      </w:r>
      <w:r>
        <w:rPr>
          <w:i/>
          <w:iCs/>
          <w:lang w:val="en-US"/>
        </w:rPr>
        <w:t>NDT</w:t>
      </w:r>
      <w:r w:rsidRPr="000F062A">
        <w:rPr>
          <w:lang w:val="en-US"/>
        </w:rPr>
        <w:t xml:space="preserve"> 2011; 26: 1559–1563</w:t>
      </w:r>
    </w:p>
    <w:p w14:paraId="714D1438" w14:textId="77777777" w:rsidR="000F062A" w:rsidRPr="00964D77" w:rsidRDefault="000F062A" w:rsidP="000F062A">
      <w:pPr>
        <w:pStyle w:val="Liststycke"/>
        <w:numPr>
          <w:ilvl w:val="0"/>
          <w:numId w:val="7"/>
        </w:numPr>
      </w:pPr>
      <w:r w:rsidRPr="00B77CC1">
        <w:t>Maya ID et al </w:t>
      </w:r>
      <w:r w:rsidRPr="000F062A">
        <w:rPr>
          <w:i/>
          <w:iCs/>
        </w:rPr>
        <w:t xml:space="preserve">Semin </w:t>
      </w:r>
      <w:proofErr w:type="spellStart"/>
      <w:r w:rsidRPr="000F062A">
        <w:rPr>
          <w:i/>
          <w:iCs/>
        </w:rPr>
        <w:t>Dial</w:t>
      </w:r>
      <w:proofErr w:type="spellEnd"/>
      <w:r w:rsidRPr="00964D77">
        <w:t> 2009; 22: 458–461</w:t>
      </w:r>
    </w:p>
    <w:p w14:paraId="7C0DC71E" w14:textId="77777777" w:rsidR="000F062A" w:rsidRPr="005B7559" w:rsidRDefault="001A3BEC" w:rsidP="000F062A">
      <w:pPr>
        <w:pStyle w:val="Liststycke"/>
        <w:numPr>
          <w:ilvl w:val="0"/>
          <w:numId w:val="7"/>
        </w:numPr>
      </w:pPr>
      <w:hyperlink r:id="rId6" w:history="1">
        <w:r w:rsidR="000F062A" w:rsidRPr="005B7559">
          <w:rPr>
            <w:rStyle w:val="Hyperlnk"/>
            <w:color w:val="auto"/>
          </w:rPr>
          <w:t>https://www.ssth.se/wp-content/uploads/2020/10/Trombocytra%CC%8Ad.pdf</w:t>
        </w:r>
      </w:hyperlink>
    </w:p>
    <w:p w14:paraId="62D4D0C4" w14:textId="77777777" w:rsidR="00AD5AB0" w:rsidRPr="005B7559" w:rsidRDefault="00AD5AB0" w:rsidP="005B7559">
      <w:pPr>
        <w:ind w:left="360"/>
      </w:pPr>
    </w:p>
    <w:p w14:paraId="1E266436" w14:textId="4704F334" w:rsidR="001E42C9" w:rsidRPr="00393FE7" w:rsidRDefault="001E42C9" w:rsidP="00AD3F06">
      <w:pPr>
        <w:rPr>
          <w:rStyle w:val="Hyperlnk"/>
          <w:color w:val="auto"/>
        </w:rPr>
      </w:pPr>
    </w:p>
    <w:p w14:paraId="0BC5DA28" w14:textId="58EEFB09" w:rsidR="00AD3F06" w:rsidRPr="0034640B" w:rsidRDefault="00AD3F06" w:rsidP="00AD3F06"/>
    <w:p w14:paraId="74872A26" w14:textId="017B3043" w:rsidR="00AD3F06" w:rsidRPr="00964D77" w:rsidRDefault="00AD3F06" w:rsidP="000F062A"/>
    <w:sectPr w:rsidR="00AD3F06" w:rsidRPr="00964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398"/>
    <w:multiLevelType w:val="hybridMultilevel"/>
    <w:tmpl w:val="DBDAFC88"/>
    <w:lvl w:ilvl="0" w:tplc="7CFA1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E0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A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20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2C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EA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86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6E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E32D61"/>
    <w:multiLevelType w:val="hybridMultilevel"/>
    <w:tmpl w:val="DB7A8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4ED1"/>
    <w:multiLevelType w:val="hybridMultilevel"/>
    <w:tmpl w:val="754E90FC"/>
    <w:lvl w:ilvl="0" w:tplc="52ACF340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35D14304"/>
    <w:multiLevelType w:val="hybridMultilevel"/>
    <w:tmpl w:val="6FB60B2E"/>
    <w:lvl w:ilvl="0" w:tplc="5830C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E5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A4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CA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2F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6F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8C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4B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AE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F746AB"/>
    <w:multiLevelType w:val="hybridMultilevel"/>
    <w:tmpl w:val="AEF6C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04F73"/>
    <w:multiLevelType w:val="hybridMultilevel"/>
    <w:tmpl w:val="5A284CBE"/>
    <w:lvl w:ilvl="0" w:tplc="7F9AB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67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05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03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E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100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88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AF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4A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3036BA"/>
    <w:multiLevelType w:val="hybridMultilevel"/>
    <w:tmpl w:val="5DFACD34"/>
    <w:lvl w:ilvl="0" w:tplc="E1901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C4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47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82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68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EA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E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09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07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365318">
    <w:abstractNumId w:val="2"/>
  </w:num>
  <w:num w:numId="2" w16cid:durableId="74673616">
    <w:abstractNumId w:val="3"/>
  </w:num>
  <w:num w:numId="3" w16cid:durableId="1963419767">
    <w:abstractNumId w:val="0"/>
  </w:num>
  <w:num w:numId="4" w16cid:durableId="1425612924">
    <w:abstractNumId w:val="6"/>
  </w:num>
  <w:num w:numId="5" w16cid:durableId="1814523374">
    <w:abstractNumId w:val="5"/>
  </w:num>
  <w:num w:numId="6" w16cid:durableId="1516379780">
    <w:abstractNumId w:val="4"/>
  </w:num>
  <w:num w:numId="7" w16cid:durableId="194453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D5"/>
    <w:rsid w:val="00005CE1"/>
    <w:rsid w:val="00031638"/>
    <w:rsid w:val="00041829"/>
    <w:rsid w:val="000472A7"/>
    <w:rsid w:val="000561F3"/>
    <w:rsid w:val="00063E0A"/>
    <w:rsid w:val="000F062A"/>
    <w:rsid w:val="00104C2F"/>
    <w:rsid w:val="00185B9A"/>
    <w:rsid w:val="001962DD"/>
    <w:rsid w:val="001A0184"/>
    <w:rsid w:val="001A3BEC"/>
    <w:rsid w:val="001A4A1D"/>
    <w:rsid w:val="001C06C5"/>
    <w:rsid w:val="001D0AAF"/>
    <w:rsid w:val="001E000B"/>
    <w:rsid w:val="001E290D"/>
    <w:rsid w:val="001E42C9"/>
    <w:rsid w:val="001F5DDA"/>
    <w:rsid w:val="00223BEA"/>
    <w:rsid w:val="00226A6B"/>
    <w:rsid w:val="00235797"/>
    <w:rsid w:val="00251EC1"/>
    <w:rsid w:val="00254F0C"/>
    <w:rsid w:val="00262B49"/>
    <w:rsid w:val="002643A9"/>
    <w:rsid w:val="0028561A"/>
    <w:rsid w:val="002870AD"/>
    <w:rsid w:val="00292B40"/>
    <w:rsid w:val="00292BBB"/>
    <w:rsid w:val="00297044"/>
    <w:rsid w:val="00297132"/>
    <w:rsid w:val="002A0636"/>
    <w:rsid w:val="002C0F82"/>
    <w:rsid w:val="002C10FB"/>
    <w:rsid w:val="002C790E"/>
    <w:rsid w:val="002D4551"/>
    <w:rsid w:val="0031023A"/>
    <w:rsid w:val="00334A70"/>
    <w:rsid w:val="0034640B"/>
    <w:rsid w:val="00365305"/>
    <w:rsid w:val="003665AD"/>
    <w:rsid w:val="00384104"/>
    <w:rsid w:val="00393FE7"/>
    <w:rsid w:val="003A0BE0"/>
    <w:rsid w:val="003A18DE"/>
    <w:rsid w:val="003B5403"/>
    <w:rsid w:val="003D081B"/>
    <w:rsid w:val="003D27C5"/>
    <w:rsid w:val="003E1C02"/>
    <w:rsid w:val="003F03DE"/>
    <w:rsid w:val="003F07D4"/>
    <w:rsid w:val="003F2844"/>
    <w:rsid w:val="0040060D"/>
    <w:rsid w:val="0043193F"/>
    <w:rsid w:val="004733E6"/>
    <w:rsid w:val="00474A97"/>
    <w:rsid w:val="00475C16"/>
    <w:rsid w:val="00482916"/>
    <w:rsid w:val="004B1E71"/>
    <w:rsid w:val="004B2010"/>
    <w:rsid w:val="004B59DC"/>
    <w:rsid w:val="004C0EFF"/>
    <w:rsid w:val="004D453A"/>
    <w:rsid w:val="004E40B4"/>
    <w:rsid w:val="00503CB5"/>
    <w:rsid w:val="0051382C"/>
    <w:rsid w:val="00514172"/>
    <w:rsid w:val="00515202"/>
    <w:rsid w:val="00547EA8"/>
    <w:rsid w:val="00556C3E"/>
    <w:rsid w:val="005725F4"/>
    <w:rsid w:val="005765A8"/>
    <w:rsid w:val="005914C9"/>
    <w:rsid w:val="005B7559"/>
    <w:rsid w:val="00602384"/>
    <w:rsid w:val="006221E5"/>
    <w:rsid w:val="006354D3"/>
    <w:rsid w:val="006451CB"/>
    <w:rsid w:val="00647482"/>
    <w:rsid w:val="00661D85"/>
    <w:rsid w:val="00683622"/>
    <w:rsid w:val="006878A9"/>
    <w:rsid w:val="006A4DF6"/>
    <w:rsid w:val="006B180F"/>
    <w:rsid w:val="006C12DF"/>
    <w:rsid w:val="006C2DD3"/>
    <w:rsid w:val="006D1583"/>
    <w:rsid w:val="006D21BA"/>
    <w:rsid w:val="006E0942"/>
    <w:rsid w:val="006E6FB0"/>
    <w:rsid w:val="00727D5E"/>
    <w:rsid w:val="00730CFD"/>
    <w:rsid w:val="00734602"/>
    <w:rsid w:val="007549CE"/>
    <w:rsid w:val="00764DAB"/>
    <w:rsid w:val="007B0439"/>
    <w:rsid w:val="007B2392"/>
    <w:rsid w:val="007E1909"/>
    <w:rsid w:val="007E4553"/>
    <w:rsid w:val="007F4CB1"/>
    <w:rsid w:val="00813573"/>
    <w:rsid w:val="008551BA"/>
    <w:rsid w:val="00855958"/>
    <w:rsid w:val="0087088B"/>
    <w:rsid w:val="00875B65"/>
    <w:rsid w:val="00882DFF"/>
    <w:rsid w:val="00896370"/>
    <w:rsid w:val="00897F22"/>
    <w:rsid w:val="008A7147"/>
    <w:rsid w:val="008B5287"/>
    <w:rsid w:val="008C6C73"/>
    <w:rsid w:val="008D50AE"/>
    <w:rsid w:val="008F6591"/>
    <w:rsid w:val="00942316"/>
    <w:rsid w:val="00946F62"/>
    <w:rsid w:val="00954647"/>
    <w:rsid w:val="00957780"/>
    <w:rsid w:val="00964D77"/>
    <w:rsid w:val="009F0DCE"/>
    <w:rsid w:val="009F4698"/>
    <w:rsid w:val="00A23937"/>
    <w:rsid w:val="00A26BCB"/>
    <w:rsid w:val="00A369E9"/>
    <w:rsid w:val="00A428BD"/>
    <w:rsid w:val="00A66AC8"/>
    <w:rsid w:val="00A8156C"/>
    <w:rsid w:val="00A84566"/>
    <w:rsid w:val="00A90832"/>
    <w:rsid w:val="00A9682D"/>
    <w:rsid w:val="00AB1E45"/>
    <w:rsid w:val="00AC2B61"/>
    <w:rsid w:val="00AD0146"/>
    <w:rsid w:val="00AD3F06"/>
    <w:rsid w:val="00AD5AB0"/>
    <w:rsid w:val="00AF768A"/>
    <w:rsid w:val="00B46FA1"/>
    <w:rsid w:val="00B66B2C"/>
    <w:rsid w:val="00B7347E"/>
    <w:rsid w:val="00B76223"/>
    <w:rsid w:val="00B77CC1"/>
    <w:rsid w:val="00B911CC"/>
    <w:rsid w:val="00B920FF"/>
    <w:rsid w:val="00BA6FD5"/>
    <w:rsid w:val="00BC260B"/>
    <w:rsid w:val="00BD1EC0"/>
    <w:rsid w:val="00BD5AAA"/>
    <w:rsid w:val="00BF27C7"/>
    <w:rsid w:val="00BF4CD5"/>
    <w:rsid w:val="00C22810"/>
    <w:rsid w:val="00C43806"/>
    <w:rsid w:val="00C568F3"/>
    <w:rsid w:val="00C63D64"/>
    <w:rsid w:val="00CA440F"/>
    <w:rsid w:val="00CA5E50"/>
    <w:rsid w:val="00CF6DDF"/>
    <w:rsid w:val="00D02517"/>
    <w:rsid w:val="00D05B8B"/>
    <w:rsid w:val="00D12101"/>
    <w:rsid w:val="00D75E3D"/>
    <w:rsid w:val="00D85AF9"/>
    <w:rsid w:val="00DC2E77"/>
    <w:rsid w:val="00DC4676"/>
    <w:rsid w:val="00DD482C"/>
    <w:rsid w:val="00DE6942"/>
    <w:rsid w:val="00E06331"/>
    <w:rsid w:val="00E14D8A"/>
    <w:rsid w:val="00E17C81"/>
    <w:rsid w:val="00E364B0"/>
    <w:rsid w:val="00E40D22"/>
    <w:rsid w:val="00E55F77"/>
    <w:rsid w:val="00E93616"/>
    <w:rsid w:val="00EA02C3"/>
    <w:rsid w:val="00EB3E88"/>
    <w:rsid w:val="00EB4D57"/>
    <w:rsid w:val="00EF4D44"/>
    <w:rsid w:val="00F216F3"/>
    <w:rsid w:val="00F25E76"/>
    <w:rsid w:val="00F537C0"/>
    <w:rsid w:val="00F71C5B"/>
    <w:rsid w:val="00F814B7"/>
    <w:rsid w:val="00FA1B69"/>
    <w:rsid w:val="00FE0EAA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B312"/>
  <w15:chartTrackingRefBased/>
  <w15:docId w15:val="{3F90F360-F7CF-4773-8EB5-23209BFB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778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D3F0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D3F06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10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1E45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C12D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C12D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C12D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12D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12D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4172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6451CB"/>
    <w:rPr>
      <w:color w:val="954F72" w:themeColor="followedHyperlink"/>
      <w:u w:val="single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393FE7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0F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21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512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76019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42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108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9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th.se/wp-content/uploads/2020/10/Trombocytra%CC%8Ad.pdf" TargetMode="External"/><Relationship Id="rId5" Type="http://schemas.openxmlformats.org/officeDocument/2006/relationships/hyperlink" Target="http://www.ssth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2498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Wallquist Carin</dc:creator>
  <cp:keywords/>
  <dc:description/>
  <cp:lastModifiedBy>Wallquist Carin</cp:lastModifiedBy>
  <cp:revision>27</cp:revision>
  <cp:lastPrinted>2025-02-04T16:04:00Z</cp:lastPrinted>
  <dcterms:created xsi:type="dcterms:W3CDTF">2025-01-27T15:14:00Z</dcterms:created>
  <dcterms:modified xsi:type="dcterms:W3CDTF">2025-02-04T21:17:00Z</dcterms:modified>
</cp:coreProperties>
</file>